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B4" w:rsidRPr="006E6363" w:rsidRDefault="006E6363" w:rsidP="00721F1D">
      <w:pPr>
        <w:ind w:left="360"/>
        <w:jc w:val="center"/>
        <w:rPr>
          <w:rFonts w:ascii="Book Antiqua" w:eastAsia="SimSun" w:hAnsi="Book Antiqua"/>
          <w:b/>
          <w:sz w:val="22"/>
          <w:lang w:val="en-AU" w:eastAsia="zh-CN"/>
        </w:rPr>
      </w:pPr>
      <w:bookmarkStart w:id="0" w:name="_GoBack"/>
      <w:bookmarkEnd w:id="0"/>
      <w:r>
        <w:rPr>
          <w:rFonts w:ascii="Book Antiqua" w:eastAsia="SimSun" w:hAnsi="Book Antiqua"/>
          <w:b/>
          <w:sz w:val="22"/>
          <w:lang w:val="en-AU" w:eastAsia="zh-CN"/>
        </w:rPr>
        <w:t xml:space="preserve">GF </w:t>
      </w:r>
      <w:r w:rsidR="00786855">
        <w:rPr>
          <w:rFonts w:ascii="Book Antiqua" w:eastAsia="SimSun" w:hAnsi="Book Antiqua"/>
          <w:b/>
          <w:sz w:val="22"/>
          <w:lang w:val="en-AU" w:eastAsia="zh-CN"/>
        </w:rPr>
        <w:t xml:space="preserve">TB </w:t>
      </w:r>
      <w:r w:rsidR="003009B4" w:rsidRPr="006E6363">
        <w:rPr>
          <w:rFonts w:ascii="Book Antiqua" w:eastAsia="SimSun" w:hAnsi="Book Antiqua"/>
          <w:b/>
          <w:sz w:val="22"/>
          <w:lang w:val="en-AU" w:eastAsia="zh-CN"/>
        </w:rPr>
        <w:t xml:space="preserve">MONITORING &amp; EVALUATION </w:t>
      </w:r>
      <w:r w:rsidR="00721F1D">
        <w:rPr>
          <w:rFonts w:ascii="Book Antiqua" w:eastAsia="SimSun" w:hAnsi="Book Antiqua"/>
          <w:b/>
          <w:sz w:val="22"/>
          <w:lang w:val="en-AU" w:eastAsia="zh-CN"/>
        </w:rPr>
        <w:t>OFFICER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220"/>
      </w:tblGrid>
      <w:tr w:rsidR="003009B4" w:rsidRPr="00B74622" w:rsidTr="008B2078">
        <w:trPr>
          <w:trHeight w:val="440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09B4" w:rsidRPr="00B74622" w:rsidRDefault="003009B4" w:rsidP="008B2078">
            <w:pPr>
              <w:spacing w:before="240" w:after="0"/>
              <w:jc w:val="center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74622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Pro</w:t>
            </w:r>
            <w:r w:rsidR="006E6363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ject Management</w:t>
            </w:r>
            <w:r w:rsidRPr="00B74622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 xml:space="preserve"> Unit </w:t>
            </w:r>
          </w:p>
        </w:tc>
      </w:tr>
      <w:tr w:rsidR="003009B4" w:rsidRPr="00B74622" w:rsidTr="00BD1FF3">
        <w:tc>
          <w:tcPr>
            <w:tcW w:w="9900" w:type="dxa"/>
            <w:gridSpan w:val="2"/>
            <w:shd w:val="clear" w:color="auto" w:fill="4472C4" w:themeFill="accent1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sz w:val="22"/>
                <w:lang w:val="en-US"/>
              </w:rPr>
            </w:pPr>
            <w:r w:rsidRPr="00B74622">
              <w:rPr>
                <w:rFonts w:ascii="Book Antiqua" w:eastAsia="Times New Roman" w:hAnsi="Book Antiqua" w:cs="Arial"/>
                <w:b/>
                <w:color w:val="FFFFFF"/>
                <w:sz w:val="22"/>
                <w:lang w:val="en-US"/>
              </w:rPr>
              <w:t xml:space="preserve">Job details </w:t>
            </w:r>
          </w:p>
        </w:tc>
      </w:tr>
      <w:tr w:rsidR="003009B4" w:rsidRPr="00B74622" w:rsidTr="008B2078">
        <w:tc>
          <w:tcPr>
            <w:tcW w:w="4680" w:type="dxa"/>
            <w:shd w:val="clear" w:color="auto" w:fill="auto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74622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 xml:space="preserve">Job title: </w:t>
            </w:r>
            <w:r w:rsidR="006E6363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 xml:space="preserve">GF </w:t>
            </w:r>
            <w:r w:rsidR="00786855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 xml:space="preserve">TB </w:t>
            </w:r>
            <w:r w:rsidRPr="00B74622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 xml:space="preserve">Monitoring and Evaluation </w:t>
            </w:r>
            <w:r w:rsidR="00721F1D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Officer</w:t>
            </w:r>
          </w:p>
        </w:tc>
        <w:tc>
          <w:tcPr>
            <w:tcW w:w="5220" w:type="dxa"/>
            <w:shd w:val="clear" w:color="auto" w:fill="auto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sz w:val="22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Supervisor:  P</w:t>
            </w:r>
            <w:r w:rsidR="006E6363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MU M</w:t>
            </w:r>
            <w:r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anager</w:t>
            </w:r>
          </w:p>
        </w:tc>
      </w:tr>
      <w:tr w:rsidR="003009B4" w:rsidRPr="00B74622" w:rsidTr="008B2078">
        <w:tc>
          <w:tcPr>
            <w:tcW w:w="4680" w:type="dxa"/>
            <w:shd w:val="clear" w:color="auto" w:fill="auto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74622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Duration of contract:</w:t>
            </w:r>
            <w:r w:rsidRPr="00B74622">
              <w:rPr>
                <w:rFonts w:ascii="Book Antiqua" w:eastAsia="Times New Roman" w:hAnsi="Book Antiqua" w:cs="Arial"/>
                <w:sz w:val="22"/>
                <w:lang w:val="en-US"/>
              </w:rPr>
              <w:t xml:space="preserve">  TBA </w:t>
            </w:r>
          </w:p>
        </w:tc>
        <w:tc>
          <w:tcPr>
            <w:tcW w:w="5220" w:type="dxa"/>
            <w:shd w:val="clear" w:color="auto" w:fill="auto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74622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 xml:space="preserve">Location: </w:t>
            </w:r>
            <w:r w:rsidR="006E6363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Vientiane</w:t>
            </w:r>
            <w:r w:rsidRPr="00B74622">
              <w:rPr>
                <w:rFonts w:ascii="Book Antiqua" w:eastAsia="Times New Roman" w:hAnsi="Book Antiqua" w:cs="Arial"/>
                <w:sz w:val="22"/>
                <w:lang w:val="en-US"/>
              </w:rPr>
              <w:t xml:space="preserve"> </w:t>
            </w:r>
          </w:p>
        </w:tc>
      </w:tr>
      <w:tr w:rsidR="003009B4" w:rsidRPr="00B74622" w:rsidTr="00BD1FF3">
        <w:tc>
          <w:tcPr>
            <w:tcW w:w="9900" w:type="dxa"/>
            <w:gridSpan w:val="2"/>
            <w:shd w:val="clear" w:color="auto" w:fill="4472C4" w:themeFill="accent1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D1FF3">
              <w:rPr>
                <w:rFonts w:ascii="Book Antiqua" w:eastAsia="Times New Roman" w:hAnsi="Book Antiqua" w:cs="Arial"/>
                <w:b/>
                <w:color w:val="FFFFFF" w:themeColor="background1"/>
                <w:sz w:val="22"/>
                <w:lang w:val="en-US"/>
              </w:rPr>
              <w:t>Job summary</w:t>
            </w:r>
          </w:p>
        </w:tc>
      </w:tr>
      <w:tr w:rsidR="003009B4" w:rsidRPr="00B74622" w:rsidTr="008B2078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09B4" w:rsidRPr="00B74622" w:rsidRDefault="003009B4" w:rsidP="008B2078">
            <w:pPr>
              <w:spacing w:after="0" w:line="240" w:lineRule="auto"/>
              <w:contextualSpacing/>
              <w:jc w:val="both"/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</w:pP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The </w:t>
            </w:r>
            <w:r w:rsidR="00FA6B89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GF </w:t>
            </w:r>
            <w:r w:rsidR="00786855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TB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M&amp;E </w:t>
            </w:r>
            <w:r w:rsidR="00721F1D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Officer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will ensure accurate, timely and complete reporting of programmatic information on the </w:t>
            </w:r>
            <w:r w:rsidR="00786855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TB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Global Fund grant to the MOH, including in the PUDRs and other reporting to the Global Fund. He/she will work with the national programme to strengthen M&amp;E activities in the Global Fund Programs. He/she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will work closely with the </w:t>
            </w:r>
            <w:r w:rsidR="00FA6B89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Health Management Information team in DPIC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and </w:t>
            </w:r>
            <w:r w:rsidR="00FA6B89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national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program staff to ensure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development of technical capacity as well as the integration of M&amp;E activities </w:t>
            </w:r>
            <w:r w:rsidR="00235D71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of TB programs 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and responsibilities into all aspects of </w:t>
            </w:r>
            <w:r w:rsidR="00235D71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TB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programming</w:t>
            </w:r>
            <w:r w:rsidR="00235D71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and interventions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.  He/she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will collaborate with the D</w:t>
            </w:r>
            <w:r w:rsidR="00FA6B89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epartment of Communicable Disease Control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and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national </w:t>
            </w:r>
            <w:r w:rsidR="00235D71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TB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programme M &amp; E staff 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to ensure effective p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rogram monitoring and implementation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.</w:t>
            </w:r>
          </w:p>
        </w:tc>
      </w:tr>
      <w:tr w:rsidR="003009B4" w:rsidRPr="00B74622" w:rsidTr="00BD1FF3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4472C4" w:themeFill="accent1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D1FF3">
              <w:rPr>
                <w:rFonts w:ascii="Book Antiqua" w:eastAsia="Times New Roman" w:hAnsi="Book Antiqua" w:cs="Arial"/>
                <w:b/>
                <w:color w:val="FFFFFF" w:themeColor="background1"/>
                <w:sz w:val="22"/>
                <w:lang w:val="en-US"/>
              </w:rPr>
              <w:t>Key responsibilities</w:t>
            </w:r>
          </w:p>
        </w:tc>
      </w:tr>
      <w:tr w:rsidR="003009B4" w:rsidRPr="00B74622" w:rsidTr="008B2078">
        <w:trPr>
          <w:trHeight w:val="604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/>
                <w:sz w:val="22"/>
                <w:lang w:val="en-AU" w:eastAsia="en-AU"/>
              </w:rPr>
            </w:pPr>
            <w:r>
              <w:t>Ensure the development and implementation of a functioning monitoring, evaluation and reporting system for TB program.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Ensure all </w:t>
            </w:r>
            <w:r w:rsidR="00BA51D4">
              <w:t>Sub-recipients (TB implementing partners)</w:t>
            </w:r>
            <w:r>
              <w:t xml:space="preserve"> – National programs, NGOs and CBOs</w:t>
            </w:r>
            <w:r w:rsidR="00BA51D4">
              <w:t>,</w:t>
            </w:r>
            <w:r>
              <w:t xml:space="preserve"> submit timely, regular and structured monitoring quarterly reports to the PR office/PMU.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after="0" w:line="240" w:lineRule="auto"/>
            </w:pPr>
            <w:r>
              <w:t xml:space="preserve">Perform data auditing and verification to assure consistency and validity of every data and indicators reported by TB program and NGOs/CBOs </w:t>
            </w:r>
            <w:r w:rsidR="00BA51D4">
              <w:t xml:space="preserve">TB </w:t>
            </w:r>
            <w:r>
              <w:t>implementers through quarterly data verification and data quality auditing.</w:t>
            </w:r>
          </w:p>
          <w:p w:rsidR="0040218D" w:rsidRPr="0040218D" w:rsidRDefault="0040218D" w:rsidP="00944F85">
            <w:pPr>
              <w:pStyle w:val="gmail-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</w:pP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Review all the quarterly progress updates report of </w:t>
            </w:r>
            <w:r w:rsidR="00BA51D4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TB implementing partners / 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SRs and provide adequate feedback to all </w:t>
            </w:r>
            <w:r w:rsidR="00BA51D4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TB implementing partners / 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SRs to ensure that </w:t>
            </w:r>
            <w:r w:rsidR="00512FC4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TB implementer 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SR program activity implementation and target achievement reported are harmonized and closely integrated for the efficiency and effectiveness</w:t>
            </w:r>
            <w:r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Ensure timely completion of </w:t>
            </w:r>
            <w:r w:rsidR="00A90C9B">
              <w:t xml:space="preserve">TB </w:t>
            </w:r>
            <w:r>
              <w:t xml:space="preserve">implementation progress report against achieved cumulative results for the Bi-annual programmatic reporting section of the Progress Update and Disbursement Request </w:t>
            </w:r>
            <w:r w:rsidR="00A90C9B">
              <w:t xml:space="preserve">(TB PUDR) </w:t>
            </w:r>
            <w:r>
              <w:t>report of the Global Fund and then, subsequent submission to the PR Manager and TA for further review and recommendations for improvement.</w:t>
            </w:r>
          </w:p>
          <w:p w:rsidR="0040218D" w:rsidRPr="0040218D" w:rsidRDefault="0040218D" w:rsidP="00944F85">
            <w:pPr>
              <w:pStyle w:val="gmail-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</w:pP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Assist TA and DPIC- HMIS team in the development and testing of M&amp;E tools, approaches and timely data reporting of National programs to the DHIS2 system as a resource of National Statistic and Health information management of Laos for future sustainability</w:t>
            </w:r>
            <w:r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.</w:t>
            </w:r>
          </w:p>
          <w:p w:rsidR="0040218D" w:rsidRPr="0040218D" w:rsidRDefault="0040218D" w:rsidP="00944F85">
            <w:pPr>
              <w:pStyle w:val="gmail-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</w:pP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Ensure all the GF </w:t>
            </w:r>
            <w:r w:rsidR="00A90C9B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TB 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M&amp;E data </w:t>
            </w:r>
            <w:r w:rsidR="008A6470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is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 collected, cleaned, analysed and readily available through the DHIS2 reporting and facilitate the findings and information dissemination to the PMU, CCM and other stakeholders</w:t>
            </w:r>
            <w:r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.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 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Facilitate programmatic analysis and interpretation by means of </w:t>
            </w:r>
            <w:r w:rsidR="00553C79">
              <w:t xml:space="preserve">TB </w:t>
            </w:r>
            <w:r>
              <w:t xml:space="preserve">data reporting on M&amp;E and sharing all findings to </w:t>
            </w:r>
            <w:r w:rsidR="00553C79">
              <w:t xml:space="preserve">TB implementing partners / </w:t>
            </w:r>
            <w:r>
              <w:t>SRs through quarterly review meetings between the PR/PMU and SRs.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Participate and contribute to the design and development of Monitoring and Evaluation Operational Frameworks for </w:t>
            </w:r>
            <w:r w:rsidR="00786855">
              <w:t xml:space="preserve">the </w:t>
            </w:r>
            <w:r>
              <w:t>TB program.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Facilitate implementation of capacity building trainings and workshops for the implementation </w:t>
            </w:r>
            <w:r>
              <w:lastRenderedPageBreak/>
              <w:t xml:space="preserve">of National M&amp;E plan of </w:t>
            </w:r>
            <w:r w:rsidR="00786855">
              <w:t xml:space="preserve">the </w:t>
            </w:r>
            <w:r>
              <w:t xml:space="preserve">TB program and provide on-the- job trainings on monitoring, evaluation and GF reporting for </w:t>
            </w:r>
            <w:r w:rsidR="00553C79">
              <w:t xml:space="preserve">TB implementing partners / </w:t>
            </w:r>
            <w:r>
              <w:t>SRs</w:t>
            </w:r>
            <w:r w:rsidR="00FB310A">
              <w:t>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Assist </w:t>
            </w:r>
            <w:r w:rsidR="00CC6E55">
              <w:t xml:space="preserve">TB implementing partners / </w:t>
            </w:r>
            <w:r>
              <w:t>SRs in identification of potential implementation problems and bottlenecks and to find out the possible solutions</w:t>
            </w:r>
            <w:r w:rsidR="00CC6E55">
              <w:t xml:space="preserve"> for TB interventions</w:t>
            </w:r>
            <w:r w:rsidR="00FB310A">
              <w:t>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after="0" w:line="240" w:lineRule="auto"/>
            </w:pPr>
            <w:r>
              <w:t xml:space="preserve">Perform any other tasks assigned by the PR Manager and PMU to support the overall Management, Supervision, Monitoring and Evaluation of the implementation of the Global Fund </w:t>
            </w:r>
            <w:r w:rsidR="00CC6E55">
              <w:t xml:space="preserve">TB </w:t>
            </w:r>
            <w:r>
              <w:t>grant</w:t>
            </w:r>
            <w:r w:rsidR="00FB310A">
              <w:t>.</w:t>
            </w:r>
          </w:p>
          <w:p w:rsidR="0040218D" w:rsidRPr="0040218D" w:rsidRDefault="0040218D" w:rsidP="00944F85">
            <w:pPr>
              <w:pStyle w:val="gmail-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</w:pP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Collaborate with the PMU Manager to prepare the responses to enquiries and management letter</w:t>
            </w:r>
            <w:r w:rsidR="00CC6E55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s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 of the Global Fund and Local Fund Agent </w:t>
            </w:r>
            <w:r w:rsidR="00CC6E55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regarding the TB grant 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and to present the key findings to the CCM</w:t>
            </w:r>
            <w:r w:rsidR="00183CE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.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 </w:t>
            </w:r>
          </w:p>
          <w:p w:rsidR="003009B4" w:rsidRPr="00CA1F47" w:rsidRDefault="003009B4" w:rsidP="00183CED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Arial"/>
                <w:sz w:val="22"/>
                <w:lang w:eastAsia="en-GB"/>
              </w:rPr>
            </w:pPr>
          </w:p>
        </w:tc>
      </w:tr>
      <w:tr w:rsidR="003009B4" w:rsidRPr="00B74622" w:rsidTr="00BD1FF3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4472C4" w:themeFill="accent1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sz w:val="22"/>
                <w:lang w:val="en-US"/>
              </w:rPr>
            </w:pPr>
            <w:r w:rsidRPr="00BC4029">
              <w:rPr>
                <w:rFonts w:ascii="Book Antiqua" w:eastAsia="Times New Roman" w:hAnsi="Book Antiqua" w:cs="Arial"/>
                <w:b/>
                <w:color w:val="FFFFFF" w:themeColor="background1"/>
                <w:sz w:val="22"/>
                <w:lang w:val="en-US"/>
              </w:rPr>
              <w:lastRenderedPageBreak/>
              <w:t>Academic and professional qualifications</w:t>
            </w:r>
          </w:p>
        </w:tc>
      </w:tr>
      <w:tr w:rsidR="003009B4" w:rsidRPr="00B74622" w:rsidTr="008B2078">
        <w:tc>
          <w:tcPr>
            <w:tcW w:w="9900" w:type="dxa"/>
            <w:gridSpan w:val="2"/>
            <w:shd w:val="clear" w:color="auto" w:fill="auto"/>
          </w:tcPr>
          <w:p w:rsidR="003009B4" w:rsidRPr="00CA1F47" w:rsidRDefault="003009B4" w:rsidP="008B2078">
            <w:p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Advanced degree in Health Sciences, Public Health, Statistics, Population Studies, Demography, Epidemiology or equivalent. </w:t>
            </w:r>
          </w:p>
        </w:tc>
      </w:tr>
      <w:tr w:rsidR="003009B4" w:rsidRPr="00B74622" w:rsidTr="00BC4029">
        <w:trPr>
          <w:trHeight w:val="323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C4029">
              <w:rPr>
                <w:rFonts w:ascii="Book Antiqua" w:eastAsia="Times New Roman" w:hAnsi="Book Antiqua" w:cs="Arial"/>
                <w:b/>
                <w:color w:val="FFFFFF" w:themeColor="background1"/>
                <w:sz w:val="22"/>
                <w:lang w:val="en-US"/>
              </w:rPr>
              <w:t>Experience</w:t>
            </w:r>
          </w:p>
        </w:tc>
      </w:tr>
      <w:tr w:rsidR="003009B4" w:rsidRPr="00B74622" w:rsidTr="00BC4029">
        <w:tc>
          <w:tcPr>
            <w:tcW w:w="9900" w:type="dxa"/>
            <w:gridSpan w:val="2"/>
            <w:shd w:val="clear" w:color="auto" w:fill="auto"/>
          </w:tcPr>
          <w:p w:rsidR="003009B4" w:rsidRPr="00CA1F47" w:rsidRDefault="003009B4" w:rsidP="007B58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CA1F47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Minimum 5 years’ experience in monitoring and evaluation of </w:t>
            </w:r>
            <w:r w:rsidR="00CC6E55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HIV/AIDS, </w:t>
            </w:r>
            <w:r w:rsidRPr="00CA1F47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TB</w:t>
            </w:r>
            <w:r w:rsidR="00CC6E55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and Malaria</w:t>
            </w:r>
            <w:r w:rsidRPr="00CA1F47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programs and experience in the </w:t>
            </w:r>
            <w:r w:rsidR="00BD1FF3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management information systems </w:t>
            </w:r>
            <w:r w:rsidRPr="00CA1F47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in the public sector</w:t>
            </w:r>
          </w:p>
          <w:p w:rsidR="003009B4" w:rsidRPr="00B74622" w:rsidRDefault="003009B4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Training and experience in logical framework, project management and M&amp;E and setting up 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of </w:t>
            </w:r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M&amp;E systems in health programs</w:t>
            </w:r>
          </w:p>
          <w:p w:rsidR="003009B4" w:rsidRPr="00B74622" w:rsidRDefault="003009B4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Demonstrated experience in designing and implementing M&amp;E systems including performance frameworks, project management, and program/project evaluations within the health sector</w:t>
            </w:r>
          </w:p>
          <w:p w:rsidR="003009B4" w:rsidRPr="00B74622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Experience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wit</w:t>
            </w:r>
            <w:r w:rsidR="00BD1FF3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h qualitative and quantitative 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M&amp;E methods in the health sector</w:t>
            </w:r>
          </w:p>
          <w:p w:rsidR="003009B4" w:rsidRPr="00B74622" w:rsidRDefault="003009B4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Experience in the monitoring and implementation of Global Fund grants is an added advantage.</w:t>
            </w:r>
          </w:p>
          <w:p w:rsidR="003009B4" w:rsidRPr="00B74622" w:rsidRDefault="003009B4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Familiarity with the </w:t>
            </w:r>
            <w:proofErr w:type="spellStart"/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MoH</w:t>
            </w:r>
            <w:proofErr w:type="spellEnd"/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health management information system is an added advantage</w:t>
            </w:r>
          </w:p>
          <w:p w:rsidR="003009B4" w:rsidRPr="00B74622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Experience in consistently 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produc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ing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technical 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reports on 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schedule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</w:t>
            </w:r>
          </w:p>
          <w:p w:rsidR="003009B4" w:rsidRPr="00B74622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Experience in c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omputer 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programs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with strong knowledge of MS office, database programs and statistical software </w:t>
            </w:r>
          </w:p>
          <w:p w:rsidR="007B58EF" w:rsidRDefault="007B58EF" w:rsidP="007B58E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1080"/>
                <w:tab w:val="left" w:pos="1440"/>
              </w:tabs>
              <w:suppressAutoHyphens/>
              <w:spacing w:after="0" w:line="240" w:lineRule="auto"/>
              <w:jc w:val="both"/>
              <w:rPr>
                <w:rFonts w:ascii="Book Antiqua" w:eastAsia="Calibri" w:hAnsi="Book Antiqua" w:cs="Tahoma"/>
                <w:sz w:val="22"/>
              </w:rPr>
            </w:pPr>
            <w:r>
              <w:rPr>
                <w:rFonts w:ascii="Book Antiqua" w:eastAsia="Calibri" w:hAnsi="Book Antiqua" w:cs="Tahoma"/>
                <w:sz w:val="22"/>
              </w:rPr>
              <w:t>Strong written and oral communication skills, including professional level English language skills.</w:t>
            </w:r>
          </w:p>
          <w:p w:rsidR="003009B4" w:rsidRPr="00B74622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Experience in working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within a team and interact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ing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effectively with collaborating agencies/departments and development partners.</w:t>
            </w:r>
          </w:p>
          <w:p w:rsidR="00BC4029" w:rsidRPr="00B74622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sz w:val="22"/>
                <w:lang w:eastAsia="zh-CN"/>
              </w:rPr>
            </w:pPr>
            <w:r>
              <w:rPr>
                <w:rFonts w:ascii="Book Antiqua" w:eastAsia="SimSun" w:hAnsi="Book Antiqua" w:cs="Tahoma"/>
                <w:sz w:val="22"/>
                <w:lang w:val="en-AU" w:eastAsia="zh-CN"/>
              </w:rPr>
              <w:t>Experience in working</w:t>
            </w:r>
            <w:r w:rsidR="003009B4" w:rsidRPr="00B74622">
              <w:rPr>
                <w:rFonts w:ascii="Book Antiqua" w:eastAsia="SimSun" w:hAnsi="Book Antiqua" w:cs="Tahoma"/>
                <w:sz w:val="22"/>
                <w:lang w:val="en-AU" w:eastAsia="zh-CN"/>
              </w:rPr>
              <w:t xml:space="preserve"> independently </w:t>
            </w:r>
            <w:r w:rsidR="003009B4" w:rsidRPr="00B74622">
              <w:rPr>
                <w:rFonts w:ascii="Book Antiqua" w:eastAsia="Calibri" w:hAnsi="Book Antiqua" w:cs="Calibri"/>
                <w:sz w:val="22"/>
                <w:lang w:val="en-AU" w:eastAsia="zh-CN"/>
              </w:rPr>
              <w:t>within deadlines, s</w:t>
            </w:r>
            <w:r w:rsidR="003009B4" w:rsidRPr="00B74622">
              <w:rPr>
                <w:rFonts w:ascii="Book Antiqua" w:eastAsia="Calibri" w:hAnsi="Book Antiqua" w:cs="Calibri"/>
                <w:sz w:val="22"/>
                <w:lang w:eastAsia="zh-CN"/>
              </w:rPr>
              <w:t>elf-motivated and creative.</w:t>
            </w:r>
          </w:p>
        </w:tc>
      </w:tr>
      <w:tr w:rsidR="00BC4029" w:rsidRPr="00B74622" w:rsidTr="00BC4029">
        <w:tc>
          <w:tcPr>
            <w:tcW w:w="9900" w:type="dxa"/>
            <w:gridSpan w:val="2"/>
            <w:shd w:val="clear" w:color="auto" w:fill="0070C0"/>
          </w:tcPr>
          <w:p w:rsidR="00BC4029" w:rsidRPr="00BC4029" w:rsidRDefault="00BC4029" w:rsidP="00BC4029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D1FF3">
              <w:rPr>
                <w:rFonts w:ascii="Book Antiqua" w:eastAsia="Times New Roman" w:hAnsi="Book Antiqua" w:cs="Arial"/>
                <w:b/>
                <w:color w:val="FFFFFF" w:themeColor="background1"/>
                <w:sz w:val="22"/>
                <w:lang w:val="en-US"/>
              </w:rPr>
              <w:t>Competencies</w:t>
            </w:r>
          </w:p>
        </w:tc>
      </w:tr>
      <w:tr w:rsidR="00BC4029" w:rsidRPr="00B74622" w:rsidTr="008B2078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Excellent conceptual and analytical abilities on the M&amp;E data and provide an analytic approach to information management</w:t>
            </w:r>
            <w:r w:rsidR="001C5F1D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.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Able to verify the data for the precise and quality oriented reporting</w:t>
            </w:r>
            <w:r w:rsidR="001C5F1D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of TB project/program.</w:t>
            </w: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Able to prepare the draft programmatic report of TB PUDR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Consistently approaches work with energy and a positive, constructive attitude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Remains strong committed and motivated even under pressure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Demonstrates openness to change and ability to manage complexities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Actively works towards continuing personal learning and development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Contributes to a knowledge-sharing and learning culture in the office and to the M&amp;E counterparts of national programs</w:t>
            </w:r>
          </w:p>
          <w:p w:rsidR="00BC4029" w:rsidRDefault="00BC4029" w:rsidP="008B592F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Ability to operate as a team player and contribute effectively to team goals</w:t>
            </w:r>
          </w:p>
        </w:tc>
      </w:tr>
    </w:tbl>
    <w:p w:rsidR="00945559" w:rsidRDefault="00945559" w:rsidP="008B592F"/>
    <w:sectPr w:rsidR="00945559" w:rsidSect="00015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DA" w:rsidRDefault="003049DA" w:rsidP="005039B2">
      <w:pPr>
        <w:spacing w:after="0" w:line="240" w:lineRule="auto"/>
      </w:pPr>
      <w:r>
        <w:separator/>
      </w:r>
    </w:p>
  </w:endnote>
  <w:endnote w:type="continuationSeparator" w:id="0">
    <w:p w:rsidR="003049DA" w:rsidRDefault="003049DA" w:rsidP="0050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B2" w:rsidRDefault="005039B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B2" w:rsidRDefault="005039B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B2" w:rsidRDefault="005039B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DA" w:rsidRDefault="003049DA" w:rsidP="005039B2">
      <w:pPr>
        <w:spacing w:after="0" w:line="240" w:lineRule="auto"/>
      </w:pPr>
      <w:r>
        <w:separator/>
      </w:r>
    </w:p>
  </w:footnote>
  <w:footnote w:type="continuationSeparator" w:id="0">
    <w:p w:rsidR="003049DA" w:rsidRDefault="003049DA" w:rsidP="0050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B2" w:rsidRDefault="005039B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B2" w:rsidRDefault="005039B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B2" w:rsidRDefault="005039B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030C"/>
    <w:multiLevelType w:val="multilevel"/>
    <w:tmpl w:val="5C88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203726EF"/>
    <w:multiLevelType w:val="multilevel"/>
    <w:tmpl w:val="C31A5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218E08BD"/>
    <w:multiLevelType w:val="hybridMultilevel"/>
    <w:tmpl w:val="EE8E4E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6943D5"/>
    <w:multiLevelType w:val="hybridMultilevel"/>
    <w:tmpl w:val="ECEA6D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A44652"/>
    <w:multiLevelType w:val="hybridMultilevel"/>
    <w:tmpl w:val="CF66F942"/>
    <w:lvl w:ilvl="0" w:tplc="FE4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Calibri" w:hAnsi="Book Antiqua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6E77F27"/>
    <w:multiLevelType w:val="hybridMultilevel"/>
    <w:tmpl w:val="8B8E6F50"/>
    <w:lvl w:ilvl="0" w:tplc="C91CB48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eastAsia="Times New Roman" w:hAnsi="Book Antiqua" w:cs="Arial"/>
        <w:color w:val="000080"/>
        <w:sz w:val="22"/>
        <w:szCs w:val="22"/>
      </w:rPr>
    </w:lvl>
    <w:lvl w:ilvl="1" w:tplc="D72A0FE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00008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563C67"/>
    <w:multiLevelType w:val="multilevel"/>
    <w:tmpl w:val="5C88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43D87C03"/>
    <w:multiLevelType w:val="multilevel"/>
    <w:tmpl w:val="805E1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>
    <w:nsid w:val="6CFA0A7D"/>
    <w:multiLevelType w:val="multilevel"/>
    <w:tmpl w:val="2AF45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>
    <w:nsid w:val="72A20ADC"/>
    <w:multiLevelType w:val="hybridMultilevel"/>
    <w:tmpl w:val="7F9CE0D6"/>
    <w:lvl w:ilvl="0" w:tplc="8A2C4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Calibri" w:hAnsi="Book Antiqua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5259E"/>
    <w:multiLevelType w:val="hybridMultilevel"/>
    <w:tmpl w:val="C5C488B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978A8"/>
    <w:multiLevelType w:val="hybridMultilevel"/>
    <w:tmpl w:val="91447B7A"/>
    <w:lvl w:ilvl="0" w:tplc="8026A4D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ahom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790381"/>
    <w:multiLevelType w:val="multilevel"/>
    <w:tmpl w:val="23F6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12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B4"/>
    <w:rsid w:val="00015961"/>
    <w:rsid w:val="00023B4E"/>
    <w:rsid w:val="00183CED"/>
    <w:rsid w:val="001C5F1D"/>
    <w:rsid w:val="001D5F85"/>
    <w:rsid w:val="00235D71"/>
    <w:rsid w:val="003009B4"/>
    <w:rsid w:val="003049DA"/>
    <w:rsid w:val="003A5A71"/>
    <w:rsid w:val="003B2FF4"/>
    <w:rsid w:val="0040218D"/>
    <w:rsid w:val="005039B2"/>
    <w:rsid w:val="00512FC4"/>
    <w:rsid w:val="00553C79"/>
    <w:rsid w:val="00564B7B"/>
    <w:rsid w:val="006B71C1"/>
    <w:rsid w:val="006E6363"/>
    <w:rsid w:val="00721F1D"/>
    <w:rsid w:val="00740D65"/>
    <w:rsid w:val="00764E04"/>
    <w:rsid w:val="00786855"/>
    <w:rsid w:val="007B58EF"/>
    <w:rsid w:val="008300DB"/>
    <w:rsid w:val="0087398A"/>
    <w:rsid w:val="008A6470"/>
    <w:rsid w:val="008B592F"/>
    <w:rsid w:val="00944F85"/>
    <w:rsid w:val="00945559"/>
    <w:rsid w:val="00A130C2"/>
    <w:rsid w:val="00A90C9B"/>
    <w:rsid w:val="00A971D8"/>
    <w:rsid w:val="00AB3C03"/>
    <w:rsid w:val="00BA51D4"/>
    <w:rsid w:val="00BC4029"/>
    <w:rsid w:val="00BD1FF3"/>
    <w:rsid w:val="00CB3A4E"/>
    <w:rsid w:val="00CB7FE8"/>
    <w:rsid w:val="00CC6E55"/>
    <w:rsid w:val="00D73B98"/>
    <w:rsid w:val="00DB45B3"/>
    <w:rsid w:val="00E3440A"/>
    <w:rsid w:val="00ED0A67"/>
    <w:rsid w:val="00F3444C"/>
    <w:rsid w:val="00F61A24"/>
    <w:rsid w:val="00FA6B89"/>
    <w:rsid w:val="00F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9B4"/>
    <w:pPr>
      <w:spacing w:after="200" w:line="276" w:lineRule="auto"/>
    </w:pPr>
    <w:rPr>
      <w:rFonts w:ascii="Times New Roman" w:eastAsiaTheme="minorHAnsi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009B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3009B4"/>
    <w:rPr>
      <w:rFonts w:ascii="Times New Roman" w:eastAsiaTheme="minorHAnsi"/>
      <w:sz w:val="24"/>
      <w:lang w:val="en-GB" w:eastAsia="en-US"/>
    </w:rPr>
  </w:style>
  <w:style w:type="paragraph" w:customStyle="1" w:styleId="gmail-msolistparagraph">
    <w:name w:val="gmail-msolistparagraph"/>
    <w:basedOn w:val="Normal"/>
    <w:rsid w:val="006E636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50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B2"/>
    <w:rPr>
      <w:rFonts w:ascii="Times New Roman" w:eastAsiaTheme="minorHAnsi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0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B2"/>
    <w:rPr>
      <w:rFonts w:ascii="Times New Roman" w:eastAsiaTheme="minorHAnsi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9B4"/>
    <w:pPr>
      <w:spacing w:after="200" w:line="276" w:lineRule="auto"/>
    </w:pPr>
    <w:rPr>
      <w:rFonts w:ascii="Times New Roman" w:eastAsiaTheme="minorHAnsi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009B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3009B4"/>
    <w:rPr>
      <w:rFonts w:ascii="Times New Roman" w:eastAsiaTheme="minorHAnsi"/>
      <w:sz w:val="24"/>
      <w:lang w:val="en-GB" w:eastAsia="en-US"/>
    </w:rPr>
  </w:style>
  <w:style w:type="paragraph" w:customStyle="1" w:styleId="gmail-msolistparagraph">
    <w:name w:val="gmail-msolistparagraph"/>
    <w:basedOn w:val="Normal"/>
    <w:rsid w:val="006E636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50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B2"/>
    <w:rPr>
      <w:rFonts w:ascii="Times New Roman" w:eastAsiaTheme="minorHAnsi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0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B2"/>
    <w:rPr>
      <w:rFonts w:ascii="Times New Roman" w:eastAsia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5068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Kerridge</dc:creator>
  <cp:keywords/>
  <dc:description/>
  <cp:lastModifiedBy>Silvia Illescas</cp:lastModifiedBy>
  <cp:revision>2</cp:revision>
  <dcterms:created xsi:type="dcterms:W3CDTF">2018-01-09T06:58:00Z</dcterms:created>
  <dcterms:modified xsi:type="dcterms:W3CDTF">2018-01-09T06:58:00Z</dcterms:modified>
</cp:coreProperties>
</file>