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29A36" w14:textId="55BF5D3A" w:rsidR="007C2881" w:rsidRPr="00F125EE" w:rsidRDefault="00D24191" w:rsidP="00466615">
      <w:pPr>
        <w:jc w:val="center"/>
        <w:rPr>
          <w:b/>
          <w:sz w:val="32"/>
          <w:szCs w:val="22"/>
        </w:rPr>
      </w:pPr>
      <w:bookmarkStart w:id="0" w:name="_GoBack"/>
      <w:bookmarkEnd w:id="0"/>
      <w:r>
        <w:rPr>
          <w:b/>
          <w:sz w:val="32"/>
          <w:szCs w:val="22"/>
        </w:rPr>
        <w:t xml:space="preserve">Funding Request for </w:t>
      </w:r>
      <w:r w:rsidR="008749C7">
        <w:rPr>
          <w:b/>
          <w:sz w:val="32"/>
          <w:szCs w:val="22"/>
        </w:rPr>
        <w:t xml:space="preserve">Technical Assistance </w:t>
      </w:r>
      <w:r>
        <w:rPr>
          <w:b/>
          <w:sz w:val="32"/>
          <w:szCs w:val="22"/>
        </w:rPr>
        <w:t>from Lao CCM to the Government of</w:t>
      </w:r>
      <w:r w:rsidR="008749C7">
        <w:rPr>
          <w:b/>
          <w:sz w:val="32"/>
          <w:szCs w:val="22"/>
        </w:rPr>
        <w:t xml:space="preserve"> Luxembourg </w:t>
      </w:r>
    </w:p>
    <w:p w14:paraId="3832FAC2" w14:textId="6B0C9EE9" w:rsidR="00466615" w:rsidRPr="002B0A1A" w:rsidRDefault="00B64FE5" w:rsidP="008953FB">
      <w:pPr>
        <w:jc w:val="center"/>
        <w:rPr>
          <w:rFonts w:asciiTheme="majorHAnsi" w:hAnsiTheme="majorHAnsi"/>
          <w:szCs w:val="22"/>
        </w:rPr>
      </w:pPr>
      <w:r>
        <w:rPr>
          <w:rFonts w:asciiTheme="majorHAnsi" w:hAnsiTheme="majorHAnsi"/>
          <w:szCs w:val="22"/>
        </w:rPr>
        <w:t>February 2016</w:t>
      </w:r>
    </w:p>
    <w:p w14:paraId="7C8C28BB" w14:textId="77777777" w:rsidR="00F6166A" w:rsidRPr="00A028D4" w:rsidRDefault="00F6166A" w:rsidP="00C93EF9">
      <w:pPr>
        <w:jc w:val="both"/>
        <w:rPr>
          <w:szCs w:val="22"/>
        </w:rPr>
      </w:pPr>
    </w:p>
    <w:p w14:paraId="380087DD" w14:textId="20E78C0B" w:rsidR="00F11349" w:rsidRDefault="007429DD" w:rsidP="00FE6C5F">
      <w:pPr>
        <w:pStyle w:val="ListParagraph"/>
        <w:numPr>
          <w:ilvl w:val="0"/>
          <w:numId w:val="3"/>
        </w:numPr>
        <w:ind w:left="426" w:hanging="426"/>
        <w:jc w:val="both"/>
        <w:rPr>
          <w:szCs w:val="22"/>
        </w:rPr>
      </w:pPr>
      <w:r w:rsidRPr="00A028D4">
        <w:rPr>
          <w:b/>
          <w:szCs w:val="22"/>
        </w:rPr>
        <w:t>Background</w:t>
      </w:r>
    </w:p>
    <w:p w14:paraId="7377B3A3" w14:textId="77777777" w:rsidR="00F11349" w:rsidRDefault="00F11349" w:rsidP="00F11349">
      <w:pPr>
        <w:jc w:val="both"/>
        <w:rPr>
          <w:szCs w:val="22"/>
        </w:rPr>
      </w:pPr>
    </w:p>
    <w:p w14:paraId="0CC9C6EF" w14:textId="117AA876" w:rsidR="009E275E" w:rsidRDefault="00F11349" w:rsidP="00F11349">
      <w:pPr>
        <w:jc w:val="both"/>
        <w:rPr>
          <w:szCs w:val="22"/>
        </w:rPr>
      </w:pPr>
      <w:r>
        <w:rPr>
          <w:szCs w:val="22"/>
        </w:rPr>
        <w:t xml:space="preserve">By the end of December 2015, all three </w:t>
      </w:r>
      <w:proofErr w:type="gramStart"/>
      <w:r>
        <w:rPr>
          <w:szCs w:val="22"/>
        </w:rPr>
        <w:t>disease</w:t>
      </w:r>
      <w:proofErr w:type="gramEnd"/>
      <w:r>
        <w:rPr>
          <w:szCs w:val="22"/>
        </w:rPr>
        <w:t xml:space="preserve"> related grants will have undergone the Concept Note submission, </w:t>
      </w:r>
      <w:r w:rsidR="00791D7B">
        <w:rPr>
          <w:szCs w:val="22"/>
        </w:rPr>
        <w:t>Technical Review Panel (</w:t>
      </w:r>
      <w:r>
        <w:rPr>
          <w:szCs w:val="22"/>
        </w:rPr>
        <w:t>TRP</w:t>
      </w:r>
      <w:r w:rsidR="00791D7B">
        <w:rPr>
          <w:szCs w:val="22"/>
        </w:rPr>
        <w:t>)</w:t>
      </w:r>
      <w:r>
        <w:rPr>
          <w:szCs w:val="22"/>
        </w:rPr>
        <w:t xml:space="preserve"> </w:t>
      </w:r>
      <w:r w:rsidR="00E16C10">
        <w:rPr>
          <w:szCs w:val="22"/>
        </w:rPr>
        <w:t xml:space="preserve">and grant making under the </w:t>
      </w:r>
      <w:r w:rsidR="00D863C5">
        <w:rPr>
          <w:szCs w:val="22"/>
        </w:rPr>
        <w:t xml:space="preserve">Global Fund </w:t>
      </w:r>
      <w:r>
        <w:rPr>
          <w:szCs w:val="22"/>
        </w:rPr>
        <w:t>N</w:t>
      </w:r>
      <w:r w:rsidR="00D863C5">
        <w:rPr>
          <w:szCs w:val="22"/>
        </w:rPr>
        <w:t xml:space="preserve">ew </w:t>
      </w:r>
      <w:r>
        <w:rPr>
          <w:szCs w:val="22"/>
        </w:rPr>
        <w:t>F</w:t>
      </w:r>
      <w:r w:rsidR="00D863C5">
        <w:rPr>
          <w:szCs w:val="22"/>
        </w:rPr>
        <w:t xml:space="preserve">unding </w:t>
      </w:r>
      <w:r>
        <w:rPr>
          <w:szCs w:val="22"/>
        </w:rPr>
        <w:t>M</w:t>
      </w:r>
      <w:r w:rsidR="00D863C5">
        <w:rPr>
          <w:szCs w:val="22"/>
        </w:rPr>
        <w:t>odel</w:t>
      </w:r>
      <w:r>
        <w:rPr>
          <w:szCs w:val="22"/>
        </w:rPr>
        <w:t>. The T</w:t>
      </w:r>
      <w:r w:rsidR="00D863C5">
        <w:rPr>
          <w:szCs w:val="22"/>
        </w:rPr>
        <w:t>uberculosis (TB)</w:t>
      </w:r>
      <w:r>
        <w:rPr>
          <w:szCs w:val="22"/>
        </w:rPr>
        <w:t xml:space="preserve"> grant started on 1 July 2015 and the HIV and malaria grants will commence on 1 January 2016. All three grants will continue until 31 December 2017. </w:t>
      </w:r>
      <w:r w:rsidR="00B75C68">
        <w:rPr>
          <w:szCs w:val="22"/>
        </w:rPr>
        <w:t>A H</w:t>
      </w:r>
      <w:r w:rsidR="00D863C5">
        <w:rPr>
          <w:szCs w:val="22"/>
        </w:rPr>
        <w:t xml:space="preserve">ealth </w:t>
      </w:r>
      <w:r w:rsidR="00B75C68">
        <w:rPr>
          <w:szCs w:val="22"/>
        </w:rPr>
        <w:t>S</w:t>
      </w:r>
      <w:r w:rsidR="00D863C5">
        <w:rPr>
          <w:szCs w:val="22"/>
        </w:rPr>
        <w:t xml:space="preserve">ystems </w:t>
      </w:r>
      <w:r w:rsidR="00B75C68">
        <w:rPr>
          <w:szCs w:val="22"/>
        </w:rPr>
        <w:t>S</w:t>
      </w:r>
      <w:r w:rsidR="00D863C5">
        <w:rPr>
          <w:szCs w:val="22"/>
        </w:rPr>
        <w:t>trengthening (HSS)</w:t>
      </w:r>
      <w:r w:rsidR="00B75C68">
        <w:rPr>
          <w:szCs w:val="22"/>
        </w:rPr>
        <w:t xml:space="preserve"> grant will a</w:t>
      </w:r>
      <w:r w:rsidR="009E275E">
        <w:rPr>
          <w:szCs w:val="22"/>
        </w:rPr>
        <w:t>lso commence on 1 January 2016.</w:t>
      </w:r>
    </w:p>
    <w:p w14:paraId="6A862A2B" w14:textId="77777777" w:rsidR="009E275E" w:rsidRDefault="009E275E" w:rsidP="00F11349">
      <w:pPr>
        <w:jc w:val="both"/>
        <w:rPr>
          <w:szCs w:val="22"/>
        </w:rPr>
      </w:pPr>
    </w:p>
    <w:p w14:paraId="29E9B80D" w14:textId="58E8A802" w:rsidR="00466615" w:rsidRPr="00F11349" w:rsidRDefault="00B75C68" w:rsidP="00F11349">
      <w:pPr>
        <w:jc w:val="both"/>
        <w:rPr>
          <w:szCs w:val="22"/>
        </w:rPr>
      </w:pPr>
      <w:r>
        <w:rPr>
          <w:szCs w:val="22"/>
        </w:rPr>
        <w:t xml:space="preserve">During </w:t>
      </w:r>
      <w:r w:rsidR="00E778CF" w:rsidRPr="00F11349">
        <w:rPr>
          <w:szCs w:val="22"/>
        </w:rPr>
        <w:t xml:space="preserve">Grant Making, the TRP </w:t>
      </w:r>
      <w:r w:rsidR="00F125EE" w:rsidRPr="00F11349">
        <w:rPr>
          <w:szCs w:val="22"/>
        </w:rPr>
        <w:t xml:space="preserve">and GAC </w:t>
      </w:r>
      <w:r>
        <w:rPr>
          <w:szCs w:val="22"/>
        </w:rPr>
        <w:t>identified a</w:t>
      </w:r>
      <w:r w:rsidR="002C4E37" w:rsidRPr="00F11349">
        <w:rPr>
          <w:szCs w:val="22"/>
        </w:rPr>
        <w:t xml:space="preserve"> key issue </w:t>
      </w:r>
      <w:r>
        <w:rPr>
          <w:szCs w:val="22"/>
        </w:rPr>
        <w:t xml:space="preserve">for the HSS grant related to </w:t>
      </w:r>
      <w:r w:rsidR="002C4E37" w:rsidRPr="00F11349">
        <w:rPr>
          <w:szCs w:val="22"/>
        </w:rPr>
        <w:t xml:space="preserve">the associated risk mitigation strategy. </w:t>
      </w:r>
      <w:r>
        <w:rPr>
          <w:szCs w:val="22"/>
        </w:rPr>
        <w:t>T</w:t>
      </w:r>
      <w:r w:rsidR="009E275E">
        <w:rPr>
          <w:szCs w:val="22"/>
        </w:rPr>
        <w:t>echnical assistance (T</w:t>
      </w:r>
      <w:r>
        <w:rPr>
          <w:szCs w:val="22"/>
        </w:rPr>
        <w:t>A</w:t>
      </w:r>
      <w:r w:rsidR="009E275E">
        <w:rPr>
          <w:szCs w:val="22"/>
        </w:rPr>
        <w:t>)</w:t>
      </w:r>
      <w:r>
        <w:rPr>
          <w:szCs w:val="22"/>
        </w:rPr>
        <w:t xml:space="preserve"> was contracted to </w:t>
      </w:r>
      <w:r w:rsidR="00B47A98">
        <w:rPr>
          <w:szCs w:val="22"/>
        </w:rPr>
        <w:t>undertake a risk analysis and</w:t>
      </w:r>
      <w:r w:rsidR="00860680">
        <w:rPr>
          <w:szCs w:val="22"/>
        </w:rPr>
        <w:t xml:space="preserve"> develop a risk mitigation plan</w:t>
      </w:r>
      <w:r w:rsidR="00000A9C" w:rsidRPr="00F11349">
        <w:rPr>
          <w:szCs w:val="22"/>
        </w:rPr>
        <w:t>.</w:t>
      </w:r>
      <w:r w:rsidR="00EF0BCE">
        <w:rPr>
          <w:szCs w:val="22"/>
        </w:rPr>
        <w:t xml:space="preserve"> This exercise proved very valuable for </w:t>
      </w:r>
      <w:r w:rsidR="00B47A98">
        <w:rPr>
          <w:szCs w:val="22"/>
        </w:rPr>
        <w:t xml:space="preserve">stakeholders involved in </w:t>
      </w:r>
      <w:r w:rsidR="00EF0BCE">
        <w:rPr>
          <w:szCs w:val="22"/>
        </w:rPr>
        <w:t>the HSS grant and the HIV, TB and malaria grants could also benefit from a risk assessment</w:t>
      </w:r>
      <w:r w:rsidR="00B47A98">
        <w:rPr>
          <w:szCs w:val="22"/>
        </w:rPr>
        <w:t xml:space="preserve"> and development of a risk mitigation plan</w:t>
      </w:r>
      <w:r w:rsidR="00EF0BCE">
        <w:rPr>
          <w:szCs w:val="22"/>
        </w:rPr>
        <w:t xml:space="preserve">.  </w:t>
      </w:r>
    </w:p>
    <w:p w14:paraId="06469C19" w14:textId="77777777" w:rsidR="00034FDC" w:rsidRPr="00A028D4" w:rsidRDefault="00034FDC" w:rsidP="00034FDC">
      <w:pPr>
        <w:jc w:val="both"/>
        <w:rPr>
          <w:szCs w:val="22"/>
        </w:rPr>
      </w:pPr>
    </w:p>
    <w:p w14:paraId="5DDF2899" w14:textId="1348E298" w:rsidR="00034FDC" w:rsidRDefault="00786E42" w:rsidP="00E54066">
      <w:pPr>
        <w:jc w:val="both"/>
        <w:rPr>
          <w:szCs w:val="22"/>
        </w:rPr>
      </w:pPr>
      <w:r>
        <w:rPr>
          <w:szCs w:val="22"/>
        </w:rPr>
        <w:t xml:space="preserve">The three Global Fund funded disease programs (HIV, TB and malaria) demonstrate challenges with regards to the overall health system, as service delivery is strained by a lack of qualified and adequately distributed </w:t>
      </w:r>
      <w:r w:rsidR="00B47A98">
        <w:rPr>
          <w:szCs w:val="22"/>
        </w:rPr>
        <w:t xml:space="preserve">motivated </w:t>
      </w:r>
      <w:r>
        <w:rPr>
          <w:szCs w:val="22"/>
        </w:rPr>
        <w:t xml:space="preserve">staff, inadequate infrastructure and supplies. The programs also persistently face planning, management and other organization governance </w:t>
      </w:r>
      <w:r w:rsidR="00B47A98">
        <w:rPr>
          <w:szCs w:val="22"/>
        </w:rPr>
        <w:t>and information</w:t>
      </w:r>
      <w:r w:rsidR="00D863C5">
        <w:rPr>
          <w:szCs w:val="22"/>
        </w:rPr>
        <w:t>-sharing</w:t>
      </w:r>
      <w:r w:rsidR="00B47A98">
        <w:rPr>
          <w:szCs w:val="22"/>
        </w:rPr>
        <w:t xml:space="preserve"> </w:t>
      </w:r>
      <w:r>
        <w:rPr>
          <w:szCs w:val="22"/>
        </w:rPr>
        <w:t>bottlenecks. Whilst efforts are ongoing to improve the health information system, the proc</w:t>
      </w:r>
      <w:r w:rsidR="009E275E">
        <w:rPr>
          <w:szCs w:val="22"/>
        </w:rPr>
        <w:t>ess is too slow for the country’</w:t>
      </w:r>
      <w:r>
        <w:rPr>
          <w:szCs w:val="22"/>
        </w:rPr>
        <w:t>s need</w:t>
      </w:r>
      <w:r w:rsidR="00EF0BCE">
        <w:rPr>
          <w:szCs w:val="22"/>
        </w:rPr>
        <w:t xml:space="preserve">. </w:t>
      </w:r>
      <w:r w:rsidR="00C46E41">
        <w:rPr>
          <w:szCs w:val="22"/>
        </w:rPr>
        <w:t>Th</w:t>
      </w:r>
      <w:r w:rsidR="00FE6C5F" w:rsidRPr="00A028D4">
        <w:rPr>
          <w:szCs w:val="22"/>
        </w:rPr>
        <w:t>e implementation</w:t>
      </w:r>
      <w:r w:rsidR="00EF0BCE">
        <w:rPr>
          <w:szCs w:val="22"/>
        </w:rPr>
        <w:t xml:space="preserve"> of these grants</w:t>
      </w:r>
      <w:r w:rsidR="00FE6C5F" w:rsidRPr="00A028D4">
        <w:rPr>
          <w:szCs w:val="22"/>
        </w:rPr>
        <w:t xml:space="preserve"> will involve </w:t>
      </w:r>
      <w:r>
        <w:rPr>
          <w:szCs w:val="22"/>
        </w:rPr>
        <w:t>the P</w:t>
      </w:r>
      <w:r w:rsidR="00D863C5">
        <w:rPr>
          <w:szCs w:val="22"/>
        </w:rPr>
        <w:t xml:space="preserve">rogram </w:t>
      </w:r>
      <w:r>
        <w:rPr>
          <w:szCs w:val="22"/>
        </w:rPr>
        <w:t>M</w:t>
      </w:r>
      <w:r w:rsidR="00D863C5">
        <w:rPr>
          <w:szCs w:val="22"/>
        </w:rPr>
        <w:t xml:space="preserve">anagement </w:t>
      </w:r>
      <w:r>
        <w:rPr>
          <w:szCs w:val="22"/>
        </w:rPr>
        <w:t>U</w:t>
      </w:r>
      <w:r w:rsidR="00D863C5">
        <w:rPr>
          <w:szCs w:val="22"/>
        </w:rPr>
        <w:t>nit</w:t>
      </w:r>
      <w:r>
        <w:rPr>
          <w:szCs w:val="22"/>
        </w:rPr>
        <w:t xml:space="preserve"> (</w:t>
      </w:r>
      <w:r w:rsidR="00D863C5">
        <w:rPr>
          <w:szCs w:val="22"/>
        </w:rPr>
        <w:t>PMU of the Principal Recipient</w:t>
      </w:r>
      <w:r>
        <w:rPr>
          <w:szCs w:val="22"/>
        </w:rPr>
        <w:t>-M</w:t>
      </w:r>
      <w:r w:rsidR="00D863C5">
        <w:rPr>
          <w:szCs w:val="22"/>
        </w:rPr>
        <w:t>inistry of Health</w:t>
      </w:r>
      <w:r>
        <w:rPr>
          <w:szCs w:val="22"/>
        </w:rPr>
        <w:t>)</w:t>
      </w:r>
      <w:r w:rsidR="00D863C5">
        <w:rPr>
          <w:szCs w:val="22"/>
        </w:rPr>
        <w:t xml:space="preserve"> and the</w:t>
      </w:r>
      <w:r w:rsidR="00CC7C88">
        <w:rPr>
          <w:szCs w:val="22"/>
        </w:rPr>
        <w:t xml:space="preserve"> </w:t>
      </w:r>
      <w:r w:rsidR="00EF0BCE">
        <w:rPr>
          <w:szCs w:val="22"/>
        </w:rPr>
        <w:t>primary implementers: Centre for HIV and STI (CHAS), National Tuberculosis Program (NTP) and Centre for Malaria Parasitology and Entomology (CMPE), as well as various sub</w:t>
      </w:r>
      <w:r w:rsidR="00C46E41">
        <w:rPr>
          <w:szCs w:val="22"/>
        </w:rPr>
        <w:t xml:space="preserve"> recipients</w:t>
      </w:r>
      <w:r w:rsidR="00EF0BCE">
        <w:rPr>
          <w:szCs w:val="22"/>
        </w:rPr>
        <w:t xml:space="preserve">; HIV: </w:t>
      </w:r>
      <w:proofErr w:type="spellStart"/>
      <w:r w:rsidR="00EF0BCE">
        <w:rPr>
          <w:szCs w:val="22"/>
        </w:rPr>
        <w:t>LaoPha</w:t>
      </w:r>
      <w:proofErr w:type="spellEnd"/>
      <w:r w:rsidR="00EF0BCE">
        <w:rPr>
          <w:szCs w:val="22"/>
        </w:rPr>
        <w:t>, PSI, PEDA, LRC</w:t>
      </w:r>
      <w:r w:rsidR="00840C7D">
        <w:rPr>
          <w:szCs w:val="22"/>
        </w:rPr>
        <w:t>;</w:t>
      </w:r>
      <w:r w:rsidR="00EF0BCE">
        <w:rPr>
          <w:szCs w:val="22"/>
        </w:rPr>
        <w:t xml:space="preserve"> TB: CICML, MAAP, </w:t>
      </w:r>
      <w:proofErr w:type="spellStart"/>
      <w:r w:rsidR="00EF0BCE">
        <w:rPr>
          <w:szCs w:val="22"/>
        </w:rPr>
        <w:t>LaoPHA</w:t>
      </w:r>
      <w:proofErr w:type="spellEnd"/>
      <w:r w:rsidR="00EF0BCE">
        <w:rPr>
          <w:szCs w:val="22"/>
        </w:rPr>
        <w:t xml:space="preserve">, LYU, PEDA, PSI and Malaria: </w:t>
      </w:r>
      <w:r w:rsidR="00840C7D">
        <w:rPr>
          <w:szCs w:val="22"/>
        </w:rPr>
        <w:t xml:space="preserve">PEDA, HPA, FDD, </w:t>
      </w:r>
      <w:proofErr w:type="spellStart"/>
      <w:r w:rsidR="00840C7D">
        <w:rPr>
          <w:szCs w:val="22"/>
        </w:rPr>
        <w:t>LaoPHA</w:t>
      </w:r>
      <w:proofErr w:type="spellEnd"/>
      <w:r w:rsidR="00840C7D">
        <w:rPr>
          <w:szCs w:val="22"/>
        </w:rPr>
        <w:t>, BFDI</w:t>
      </w:r>
      <w:r w:rsidR="008953FB">
        <w:rPr>
          <w:szCs w:val="22"/>
        </w:rPr>
        <w:t>.</w:t>
      </w:r>
    </w:p>
    <w:p w14:paraId="5525544A" w14:textId="77777777" w:rsidR="00E83057" w:rsidRDefault="00E83057" w:rsidP="00E54066">
      <w:pPr>
        <w:jc w:val="both"/>
        <w:rPr>
          <w:szCs w:val="22"/>
        </w:rPr>
      </w:pPr>
    </w:p>
    <w:p w14:paraId="7C0816A0" w14:textId="59801095" w:rsidR="00BA780A" w:rsidRDefault="00B47A98" w:rsidP="00E54066">
      <w:pPr>
        <w:jc w:val="both"/>
        <w:rPr>
          <w:szCs w:val="22"/>
        </w:rPr>
      </w:pPr>
      <w:r>
        <w:rPr>
          <w:szCs w:val="22"/>
        </w:rPr>
        <w:t>Additionally, each program faces a number of key risks in program implementation over the course of 2016 such as:</w:t>
      </w:r>
    </w:p>
    <w:p w14:paraId="0067B873" w14:textId="261BB7BF" w:rsidR="00E406CF" w:rsidRDefault="00E406CF" w:rsidP="00840C7D">
      <w:pPr>
        <w:pStyle w:val="ListParagraph"/>
        <w:numPr>
          <w:ilvl w:val="0"/>
          <w:numId w:val="7"/>
        </w:numPr>
        <w:jc w:val="both"/>
        <w:rPr>
          <w:szCs w:val="22"/>
        </w:rPr>
      </w:pPr>
      <w:r>
        <w:rPr>
          <w:szCs w:val="22"/>
        </w:rPr>
        <w:t xml:space="preserve">The HIV program plans to end the condom social marketing program and allow for a commercial sector supply of condoms in Lao. </w:t>
      </w:r>
    </w:p>
    <w:p w14:paraId="1064D50F" w14:textId="1670B5A2" w:rsidR="00E406CF" w:rsidRDefault="00E406CF" w:rsidP="00840C7D">
      <w:pPr>
        <w:pStyle w:val="ListParagraph"/>
        <w:numPr>
          <w:ilvl w:val="0"/>
          <w:numId w:val="7"/>
        </w:numPr>
        <w:jc w:val="both"/>
        <w:rPr>
          <w:szCs w:val="22"/>
        </w:rPr>
      </w:pPr>
      <w:r>
        <w:rPr>
          <w:szCs w:val="22"/>
        </w:rPr>
        <w:t>The level of HIV testin</w:t>
      </w:r>
      <w:r w:rsidR="009E275E">
        <w:rPr>
          <w:szCs w:val="22"/>
        </w:rPr>
        <w:t>g in key populations</w:t>
      </w:r>
      <w:r>
        <w:rPr>
          <w:szCs w:val="22"/>
        </w:rPr>
        <w:t xml:space="preserve"> (S</w:t>
      </w:r>
      <w:r w:rsidR="00D863C5">
        <w:rPr>
          <w:szCs w:val="22"/>
        </w:rPr>
        <w:t xml:space="preserve">ex </w:t>
      </w:r>
      <w:r>
        <w:rPr>
          <w:szCs w:val="22"/>
        </w:rPr>
        <w:t>W</w:t>
      </w:r>
      <w:r w:rsidR="00D863C5">
        <w:rPr>
          <w:szCs w:val="22"/>
        </w:rPr>
        <w:t>orkers</w:t>
      </w:r>
      <w:r>
        <w:rPr>
          <w:szCs w:val="22"/>
        </w:rPr>
        <w:t>, M</w:t>
      </w:r>
      <w:r w:rsidR="00D863C5">
        <w:rPr>
          <w:szCs w:val="22"/>
        </w:rPr>
        <w:t xml:space="preserve">en having </w:t>
      </w:r>
      <w:r>
        <w:rPr>
          <w:szCs w:val="22"/>
        </w:rPr>
        <w:t>S</w:t>
      </w:r>
      <w:r w:rsidR="00D863C5">
        <w:rPr>
          <w:szCs w:val="22"/>
        </w:rPr>
        <w:t xml:space="preserve">ex with </w:t>
      </w:r>
      <w:r>
        <w:rPr>
          <w:szCs w:val="22"/>
        </w:rPr>
        <w:t>M</w:t>
      </w:r>
      <w:r w:rsidR="00D863C5">
        <w:rPr>
          <w:szCs w:val="22"/>
        </w:rPr>
        <w:t>en</w:t>
      </w:r>
      <w:r>
        <w:rPr>
          <w:szCs w:val="22"/>
        </w:rPr>
        <w:t xml:space="preserve">, </w:t>
      </w:r>
      <w:proofErr w:type="spellStart"/>
      <w:r>
        <w:rPr>
          <w:szCs w:val="22"/>
        </w:rPr>
        <w:t>T</w:t>
      </w:r>
      <w:r w:rsidR="00D863C5">
        <w:rPr>
          <w:szCs w:val="22"/>
        </w:rPr>
        <w:t>ransgenders</w:t>
      </w:r>
      <w:proofErr w:type="spellEnd"/>
      <w:r>
        <w:rPr>
          <w:szCs w:val="22"/>
        </w:rPr>
        <w:t xml:space="preserve"> and prisoners) is still very low in the NFM grant</w:t>
      </w:r>
      <w:r w:rsidR="00B47A98">
        <w:rPr>
          <w:szCs w:val="22"/>
        </w:rPr>
        <w:t xml:space="preserve"> and needs to be scaled up.</w:t>
      </w:r>
    </w:p>
    <w:p w14:paraId="5675AA85" w14:textId="6B2535B7" w:rsidR="00713A6F" w:rsidRDefault="00713A6F" w:rsidP="00840C7D">
      <w:pPr>
        <w:pStyle w:val="ListParagraph"/>
        <w:numPr>
          <w:ilvl w:val="0"/>
          <w:numId w:val="7"/>
        </w:numPr>
        <w:jc w:val="both"/>
        <w:rPr>
          <w:szCs w:val="22"/>
        </w:rPr>
      </w:pPr>
      <w:r>
        <w:rPr>
          <w:szCs w:val="22"/>
        </w:rPr>
        <w:t xml:space="preserve">The TB program aims to increase TB case notification, however, there is a risk regarding the provincial health </w:t>
      </w:r>
      <w:r w:rsidR="009E275E">
        <w:rPr>
          <w:szCs w:val="22"/>
        </w:rPr>
        <w:t>centers</w:t>
      </w:r>
      <w:r>
        <w:rPr>
          <w:szCs w:val="22"/>
        </w:rPr>
        <w:t xml:space="preserve"> capacity to manage the increased case load. </w:t>
      </w:r>
    </w:p>
    <w:p w14:paraId="7788064D" w14:textId="53AF93E2" w:rsidR="00713A6F" w:rsidRDefault="00713A6F" w:rsidP="00840C7D">
      <w:pPr>
        <w:pStyle w:val="ListParagraph"/>
        <w:numPr>
          <w:ilvl w:val="0"/>
          <w:numId w:val="7"/>
        </w:numPr>
        <w:jc w:val="both"/>
        <w:rPr>
          <w:szCs w:val="22"/>
        </w:rPr>
      </w:pPr>
      <w:r>
        <w:rPr>
          <w:szCs w:val="22"/>
        </w:rPr>
        <w:t xml:space="preserve">Regarding MDR-TB treatment, the TB program will shift from a single treatment site to ambulatory care. </w:t>
      </w:r>
    </w:p>
    <w:p w14:paraId="60413367" w14:textId="03A5A660" w:rsidR="00840C7D" w:rsidRDefault="000D0186" w:rsidP="00840C7D">
      <w:pPr>
        <w:pStyle w:val="ListParagraph"/>
        <w:numPr>
          <w:ilvl w:val="0"/>
          <w:numId w:val="7"/>
        </w:numPr>
        <w:jc w:val="both"/>
        <w:rPr>
          <w:szCs w:val="22"/>
        </w:rPr>
      </w:pPr>
      <w:r>
        <w:rPr>
          <w:szCs w:val="22"/>
        </w:rPr>
        <w:t>Monitoring artemisinin resistance, which has recently (20</w:t>
      </w:r>
      <w:r w:rsidR="00E406CF">
        <w:rPr>
          <w:szCs w:val="22"/>
        </w:rPr>
        <w:t>14) been identified in Lao PDR, therefore th</w:t>
      </w:r>
      <w:r>
        <w:rPr>
          <w:szCs w:val="22"/>
        </w:rPr>
        <w:t xml:space="preserve">e national malaria program will need to enhance the management and coordination </w:t>
      </w:r>
      <w:r w:rsidR="009E275E">
        <w:rPr>
          <w:szCs w:val="22"/>
        </w:rPr>
        <w:t xml:space="preserve">of </w:t>
      </w:r>
      <w:r>
        <w:rPr>
          <w:szCs w:val="22"/>
        </w:rPr>
        <w:t xml:space="preserve">all </w:t>
      </w:r>
      <w:r w:rsidR="009E275E">
        <w:rPr>
          <w:szCs w:val="22"/>
        </w:rPr>
        <w:t>donor-</w:t>
      </w:r>
      <w:r>
        <w:rPr>
          <w:szCs w:val="22"/>
        </w:rPr>
        <w:t>funded activities, including the Regional Artemisinin initiative (RAI)</w:t>
      </w:r>
      <w:r w:rsidR="00B47A98">
        <w:rPr>
          <w:szCs w:val="22"/>
        </w:rPr>
        <w:t>, US Government and Asian Development Bank</w:t>
      </w:r>
      <w:r>
        <w:rPr>
          <w:szCs w:val="22"/>
        </w:rPr>
        <w:t>.</w:t>
      </w:r>
    </w:p>
    <w:p w14:paraId="73C0FAD7" w14:textId="17E5F49A" w:rsidR="00404A7A" w:rsidRPr="00840C7D" w:rsidRDefault="00404A7A" w:rsidP="00840C7D">
      <w:pPr>
        <w:pStyle w:val="ListParagraph"/>
        <w:numPr>
          <w:ilvl w:val="0"/>
          <w:numId w:val="7"/>
        </w:numPr>
        <w:jc w:val="both"/>
        <w:rPr>
          <w:szCs w:val="22"/>
        </w:rPr>
      </w:pPr>
      <w:r>
        <w:rPr>
          <w:szCs w:val="22"/>
        </w:rPr>
        <w:lastRenderedPageBreak/>
        <w:t xml:space="preserve">Bed net distribution will include key affected populations, particularly migrants and forest </w:t>
      </w:r>
      <w:proofErr w:type="gramStart"/>
      <w:r>
        <w:rPr>
          <w:szCs w:val="22"/>
        </w:rPr>
        <w:t>workers,</w:t>
      </w:r>
      <w:proofErr w:type="gramEnd"/>
      <w:r>
        <w:rPr>
          <w:szCs w:val="22"/>
        </w:rPr>
        <w:t xml:space="preserve"> however, accessing these populations can be difficult. </w:t>
      </w:r>
    </w:p>
    <w:p w14:paraId="099D014F" w14:textId="634F9DDB" w:rsidR="00713A6F" w:rsidRDefault="00713A6F" w:rsidP="00E83057">
      <w:pPr>
        <w:pStyle w:val="Default"/>
        <w:numPr>
          <w:ilvl w:val="0"/>
          <w:numId w:val="7"/>
        </w:numPr>
        <w:jc w:val="both"/>
        <w:rPr>
          <w:rFonts w:ascii="Georgia" w:hAnsi="Georgia"/>
          <w:sz w:val="22"/>
          <w:szCs w:val="22"/>
        </w:rPr>
      </w:pPr>
      <w:r>
        <w:rPr>
          <w:rFonts w:ascii="Georgia" w:hAnsi="Georgia"/>
          <w:sz w:val="22"/>
          <w:szCs w:val="22"/>
        </w:rPr>
        <w:t>M</w:t>
      </w:r>
      <w:r w:rsidR="00E406CF">
        <w:rPr>
          <w:rFonts w:ascii="Georgia" w:hAnsi="Georgia"/>
          <w:sz w:val="22"/>
          <w:szCs w:val="22"/>
        </w:rPr>
        <w:t xml:space="preserve">anagement capacities in the provinces continue to be weak and support is needed to enhance field implementation. </w:t>
      </w:r>
    </w:p>
    <w:p w14:paraId="6668F510" w14:textId="79A7DB53" w:rsidR="00E406CF" w:rsidRDefault="00E406CF" w:rsidP="00E83057">
      <w:pPr>
        <w:pStyle w:val="Default"/>
        <w:numPr>
          <w:ilvl w:val="0"/>
          <w:numId w:val="7"/>
        </w:numPr>
        <w:jc w:val="both"/>
        <w:rPr>
          <w:rFonts w:ascii="Georgia" w:hAnsi="Georgia"/>
          <w:sz w:val="22"/>
          <w:szCs w:val="22"/>
        </w:rPr>
      </w:pPr>
      <w:r>
        <w:rPr>
          <w:rFonts w:ascii="Georgia" w:hAnsi="Georgia"/>
          <w:sz w:val="22"/>
          <w:szCs w:val="22"/>
        </w:rPr>
        <w:t>Whilst community and peer related interventions have been included in the disease programs, the accountability, sustainability and</w:t>
      </w:r>
      <w:r w:rsidR="009E275E">
        <w:rPr>
          <w:rFonts w:ascii="Georgia" w:hAnsi="Georgia"/>
          <w:sz w:val="22"/>
          <w:szCs w:val="22"/>
        </w:rPr>
        <w:t xml:space="preserve"> linkages of these activities are</w:t>
      </w:r>
      <w:r>
        <w:rPr>
          <w:rFonts w:ascii="Georgia" w:hAnsi="Georgia"/>
          <w:sz w:val="22"/>
          <w:szCs w:val="22"/>
        </w:rPr>
        <w:t xml:space="preserve"> uncertain.</w:t>
      </w:r>
    </w:p>
    <w:p w14:paraId="19378791" w14:textId="29D2B3CF" w:rsidR="00E83057" w:rsidRDefault="00E83057" w:rsidP="00E83057">
      <w:pPr>
        <w:pStyle w:val="Default"/>
        <w:numPr>
          <w:ilvl w:val="0"/>
          <w:numId w:val="7"/>
        </w:numPr>
        <w:jc w:val="both"/>
        <w:rPr>
          <w:rFonts w:ascii="Georgia" w:hAnsi="Georgia"/>
          <w:sz w:val="22"/>
          <w:szCs w:val="22"/>
        </w:rPr>
      </w:pPr>
      <w:r>
        <w:rPr>
          <w:rFonts w:ascii="Georgia" w:hAnsi="Georgia"/>
          <w:sz w:val="22"/>
          <w:szCs w:val="22"/>
        </w:rPr>
        <w:t xml:space="preserve">The information systems and </w:t>
      </w:r>
      <w:r w:rsidR="00CC7C88">
        <w:rPr>
          <w:rFonts w:ascii="Georgia" w:hAnsi="Georgia"/>
          <w:sz w:val="22"/>
          <w:szCs w:val="22"/>
        </w:rPr>
        <w:t>Monitoring</w:t>
      </w:r>
      <w:r w:rsidR="00D863C5">
        <w:rPr>
          <w:rFonts w:ascii="Georgia" w:hAnsi="Georgia"/>
          <w:sz w:val="22"/>
          <w:szCs w:val="22"/>
        </w:rPr>
        <w:t xml:space="preserve"> </w:t>
      </w:r>
      <w:r>
        <w:rPr>
          <w:rFonts w:ascii="Georgia" w:hAnsi="Georgia"/>
          <w:sz w:val="22"/>
          <w:szCs w:val="22"/>
        </w:rPr>
        <w:t>&amp;E</w:t>
      </w:r>
      <w:r w:rsidR="00D863C5">
        <w:rPr>
          <w:rFonts w:ascii="Georgia" w:hAnsi="Georgia"/>
          <w:sz w:val="22"/>
          <w:szCs w:val="22"/>
        </w:rPr>
        <w:t>valuation system (M&amp;E)</w:t>
      </w:r>
      <w:r w:rsidR="000D0186">
        <w:rPr>
          <w:rFonts w:ascii="Georgia" w:hAnsi="Georgia"/>
          <w:sz w:val="22"/>
          <w:szCs w:val="22"/>
        </w:rPr>
        <w:t xml:space="preserve"> will need to be improved, particularly at the village and health facility level, to ensure that disaggregated</w:t>
      </w:r>
      <w:r w:rsidR="00713A6F">
        <w:rPr>
          <w:rFonts w:ascii="Georgia" w:hAnsi="Georgia"/>
          <w:sz w:val="22"/>
          <w:szCs w:val="22"/>
        </w:rPr>
        <w:t xml:space="preserve"> data (by age and gender)</w:t>
      </w:r>
      <w:r w:rsidR="000D0186">
        <w:rPr>
          <w:rFonts w:ascii="Georgia" w:hAnsi="Georgia"/>
          <w:sz w:val="22"/>
          <w:szCs w:val="22"/>
        </w:rPr>
        <w:t xml:space="preserve"> can be prepared and used at the central level for planning and decision making. </w:t>
      </w:r>
    </w:p>
    <w:p w14:paraId="4D968C65" w14:textId="3DC913DD" w:rsidR="004028CC" w:rsidRPr="00A028D4" w:rsidRDefault="004A0DD3" w:rsidP="00E83057">
      <w:pPr>
        <w:pStyle w:val="Default"/>
        <w:numPr>
          <w:ilvl w:val="0"/>
          <w:numId w:val="7"/>
        </w:numPr>
        <w:jc w:val="both"/>
        <w:rPr>
          <w:rFonts w:ascii="Georgia" w:hAnsi="Georgia"/>
          <w:sz w:val="22"/>
          <w:szCs w:val="22"/>
        </w:rPr>
      </w:pPr>
      <w:r>
        <w:rPr>
          <w:rFonts w:ascii="Georgia" w:hAnsi="Georgia"/>
          <w:sz w:val="22"/>
          <w:szCs w:val="22"/>
        </w:rPr>
        <w:t>Multiple and i</w:t>
      </w:r>
      <w:r w:rsidR="004028CC">
        <w:rPr>
          <w:rFonts w:ascii="Georgia" w:hAnsi="Georgia"/>
          <w:sz w:val="22"/>
          <w:szCs w:val="22"/>
        </w:rPr>
        <w:t>nadequate logistic management information systems (LMIS) leading to stock outs or product expiry.</w:t>
      </w:r>
    </w:p>
    <w:p w14:paraId="60606AD5" w14:textId="77777777" w:rsidR="00BC6C13" w:rsidRPr="00713A6F" w:rsidRDefault="00BC6C13" w:rsidP="00E54066">
      <w:pPr>
        <w:jc w:val="both"/>
        <w:rPr>
          <w:szCs w:val="22"/>
          <w:lang w:val="en-GB"/>
        </w:rPr>
      </w:pPr>
    </w:p>
    <w:p w14:paraId="16B019DD" w14:textId="5D6E7ACF" w:rsidR="009D3D00" w:rsidRDefault="00840C7D" w:rsidP="00C93EF9">
      <w:pPr>
        <w:jc w:val="both"/>
        <w:rPr>
          <w:szCs w:val="22"/>
        </w:rPr>
      </w:pPr>
      <w:r>
        <w:rPr>
          <w:szCs w:val="22"/>
        </w:rPr>
        <w:t>Please refer to the HIV, TB and malaria</w:t>
      </w:r>
      <w:r w:rsidR="0012021A">
        <w:rPr>
          <w:szCs w:val="22"/>
        </w:rPr>
        <w:t xml:space="preserve"> Concept Note and final </w:t>
      </w:r>
      <w:r w:rsidR="00791D7B">
        <w:rPr>
          <w:szCs w:val="22"/>
        </w:rPr>
        <w:t>Concept Note (</w:t>
      </w:r>
      <w:r w:rsidR="0012021A">
        <w:rPr>
          <w:szCs w:val="22"/>
        </w:rPr>
        <w:t>CN</w:t>
      </w:r>
      <w:r w:rsidR="00791D7B">
        <w:rPr>
          <w:szCs w:val="22"/>
        </w:rPr>
        <w:t>)</w:t>
      </w:r>
      <w:r w:rsidR="0012021A">
        <w:rPr>
          <w:szCs w:val="22"/>
        </w:rPr>
        <w:t xml:space="preserve"> review and Recommendations form for more </w:t>
      </w:r>
      <w:r w:rsidR="00C643C4">
        <w:rPr>
          <w:szCs w:val="22"/>
        </w:rPr>
        <w:t>detail regarding the overall program and implementation approach</w:t>
      </w:r>
      <w:r w:rsidR="0012021A">
        <w:rPr>
          <w:szCs w:val="22"/>
        </w:rPr>
        <w:t>.</w:t>
      </w:r>
    </w:p>
    <w:p w14:paraId="654D5647" w14:textId="77777777" w:rsidR="00E16C10" w:rsidRDefault="00E16C10" w:rsidP="00E16C10">
      <w:pPr>
        <w:jc w:val="both"/>
        <w:rPr>
          <w:szCs w:val="22"/>
        </w:rPr>
      </w:pPr>
    </w:p>
    <w:p w14:paraId="409A6547" w14:textId="4F3DD767" w:rsidR="009E275E" w:rsidRPr="009E275E" w:rsidRDefault="006D71B0" w:rsidP="007D429F">
      <w:pPr>
        <w:pStyle w:val="ListParagraph"/>
        <w:numPr>
          <w:ilvl w:val="0"/>
          <w:numId w:val="3"/>
        </w:numPr>
        <w:jc w:val="both"/>
        <w:rPr>
          <w:szCs w:val="22"/>
        </w:rPr>
      </w:pPr>
      <w:r>
        <w:rPr>
          <w:b/>
          <w:szCs w:val="22"/>
        </w:rPr>
        <w:t>Requested support</w:t>
      </w:r>
    </w:p>
    <w:p w14:paraId="6E96755F" w14:textId="77777777" w:rsidR="009E275E" w:rsidRDefault="009E275E" w:rsidP="009E275E">
      <w:pPr>
        <w:jc w:val="both"/>
        <w:rPr>
          <w:szCs w:val="22"/>
        </w:rPr>
      </w:pPr>
    </w:p>
    <w:p w14:paraId="21877983" w14:textId="1DCF70DF" w:rsidR="00E16C10" w:rsidRDefault="009E275E" w:rsidP="009E275E">
      <w:pPr>
        <w:jc w:val="both"/>
      </w:pPr>
      <w:r w:rsidRPr="00626541">
        <w:rPr>
          <w:szCs w:val="22"/>
          <w:highlight w:val="yellow"/>
        </w:rPr>
        <w:t>Funding</w:t>
      </w:r>
      <w:r w:rsidR="00E16C10" w:rsidRPr="00626541">
        <w:rPr>
          <w:szCs w:val="22"/>
          <w:highlight w:val="yellow"/>
        </w:rPr>
        <w:t xml:space="preserve"> </w:t>
      </w:r>
      <w:r w:rsidRPr="00626541">
        <w:rPr>
          <w:szCs w:val="22"/>
          <w:highlight w:val="yellow"/>
        </w:rPr>
        <w:t xml:space="preserve">of </w:t>
      </w:r>
      <w:r w:rsidR="00FB235C" w:rsidRPr="00626541">
        <w:rPr>
          <w:bCs/>
          <w:szCs w:val="22"/>
          <w:highlight w:val="yellow"/>
          <w:lang w:val="en-GB"/>
        </w:rPr>
        <w:t>US$ 80,000</w:t>
      </w:r>
      <w:r w:rsidRPr="00626541">
        <w:rPr>
          <w:szCs w:val="22"/>
          <w:highlight w:val="yellow"/>
        </w:rPr>
        <w:t xml:space="preserve"> </w:t>
      </w:r>
      <w:r w:rsidR="00A110BB" w:rsidRPr="00626541">
        <w:rPr>
          <w:szCs w:val="22"/>
          <w:highlight w:val="yellow"/>
        </w:rPr>
        <w:t>(~ EUR 71,869)</w:t>
      </w:r>
      <w:r w:rsidR="00A110BB">
        <w:rPr>
          <w:szCs w:val="22"/>
        </w:rPr>
        <w:t xml:space="preserve"> </w:t>
      </w:r>
      <w:r w:rsidR="00E16C10" w:rsidRPr="009E275E">
        <w:rPr>
          <w:szCs w:val="22"/>
        </w:rPr>
        <w:t xml:space="preserve">to </w:t>
      </w:r>
      <w:r w:rsidRPr="009E275E">
        <w:rPr>
          <w:szCs w:val="22"/>
        </w:rPr>
        <w:t xml:space="preserve">provide for </w:t>
      </w:r>
      <w:r w:rsidR="008953FB">
        <w:rPr>
          <w:szCs w:val="22"/>
        </w:rPr>
        <w:t>technical assistance</w:t>
      </w:r>
      <w:r w:rsidR="00D863C5">
        <w:rPr>
          <w:szCs w:val="22"/>
        </w:rPr>
        <w:t xml:space="preserve"> as described below</w:t>
      </w:r>
      <w:r w:rsidR="008953FB">
        <w:rPr>
          <w:szCs w:val="22"/>
        </w:rPr>
        <w:t xml:space="preserve">, corresponding </w:t>
      </w:r>
      <w:r w:rsidR="00D863C5">
        <w:rPr>
          <w:szCs w:val="22"/>
        </w:rPr>
        <w:t>to</w:t>
      </w:r>
      <w:r w:rsidR="008953FB">
        <w:rPr>
          <w:szCs w:val="22"/>
        </w:rPr>
        <w:t xml:space="preserve"> </w:t>
      </w:r>
      <w:r w:rsidRPr="009E275E">
        <w:rPr>
          <w:szCs w:val="22"/>
        </w:rPr>
        <w:t xml:space="preserve">the cost of a consultant to </w:t>
      </w:r>
      <w:r w:rsidR="00E16C10">
        <w:t>conduct risk assessments for the HIV, TB and malaria programs.</w:t>
      </w:r>
    </w:p>
    <w:p w14:paraId="380CF43E" w14:textId="77777777" w:rsidR="008952E1" w:rsidRPr="009E275E" w:rsidRDefault="008952E1" w:rsidP="009E275E">
      <w:pPr>
        <w:jc w:val="both"/>
        <w:rPr>
          <w:szCs w:val="22"/>
        </w:rPr>
      </w:pPr>
    </w:p>
    <w:p w14:paraId="4275BCFC" w14:textId="4762E58C" w:rsidR="008952E1" w:rsidRPr="008953FB" w:rsidRDefault="008952E1" w:rsidP="008952E1">
      <w:pPr>
        <w:pStyle w:val="ListParagraph"/>
        <w:numPr>
          <w:ilvl w:val="0"/>
          <w:numId w:val="3"/>
        </w:numPr>
        <w:rPr>
          <w:b/>
          <w:szCs w:val="22"/>
        </w:rPr>
      </w:pPr>
      <w:r>
        <w:rPr>
          <w:b/>
          <w:szCs w:val="22"/>
        </w:rPr>
        <w:t>Proposed recipient of funds</w:t>
      </w:r>
    </w:p>
    <w:p w14:paraId="39DFE245" w14:textId="77777777" w:rsidR="008952E1" w:rsidRDefault="008952E1" w:rsidP="008952E1">
      <w:pPr>
        <w:autoSpaceDE w:val="0"/>
        <w:autoSpaceDN w:val="0"/>
        <w:rPr>
          <w:szCs w:val="22"/>
        </w:rPr>
      </w:pPr>
    </w:p>
    <w:p w14:paraId="5CF838EC" w14:textId="77777777" w:rsidR="008952E1" w:rsidRPr="004256BC" w:rsidRDefault="008952E1" w:rsidP="008952E1">
      <w:pPr>
        <w:autoSpaceDE w:val="0"/>
        <w:autoSpaceDN w:val="0"/>
        <w:rPr>
          <w:szCs w:val="22"/>
        </w:rPr>
      </w:pPr>
      <w:r w:rsidRPr="004256BC">
        <w:rPr>
          <w:szCs w:val="22"/>
        </w:rPr>
        <w:t>PR Lao</w:t>
      </w:r>
      <w:r>
        <w:rPr>
          <w:szCs w:val="22"/>
        </w:rPr>
        <w:t>:</w:t>
      </w:r>
      <w:r w:rsidRPr="004256BC">
        <w:rPr>
          <w:szCs w:val="22"/>
        </w:rPr>
        <w:t xml:space="preserve"> </w:t>
      </w:r>
      <w:r w:rsidRPr="004256BC">
        <w:rPr>
          <w:rFonts w:cs="Arial"/>
          <w:szCs w:val="22"/>
        </w:rPr>
        <w:t>Ministry of Health, Department of Communicable Disease Control (</w:t>
      </w:r>
      <w:r w:rsidRPr="004256BC">
        <w:rPr>
          <w:rFonts w:cs="Arial"/>
          <w:bCs/>
          <w:iCs/>
          <w:szCs w:val="22"/>
          <w:shd w:val="clear" w:color="auto" w:fill="FFFFFF"/>
        </w:rPr>
        <w:t>DCDC</w:t>
      </w:r>
      <w:r w:rsidRPr="004256BC">
        <w:rPr>
          <w:rFonts w:cs="Arial"/>
          <w:szCs w:val="22"/>
          <w:shd w:val="clear" w:color="auto" w:fill="FFFFFF"/>
        </w:rPr>
        <w:t>).</w:t>
      </w:r>
    </w:p>
    <w:p w14:paraId="19CC7F60" w14:textId="77777777" w:rsidR="00706288" w:rsidRDefault="00706288" w:rsidP="00706288">
      <w:pPr>
        <w:pStyle w:val="ListParagraph"/>
        <w:ind w:left="426"/>
        <w:jc w:val="both"/>
        <w:rPr>
          <w:b/>
          <w:szCs w:val="22"/>
        </w:rPr>
      </w:pPr>
    </w:p>
    <w:p w14:paraId="7D744D1D" w14:textId="77777777" w:rsidR="006D71B0" w:rsidRDefault="006D71B0" w:rsidP="006D71B0">
      <w:pPr>
        <w:pStyle w:val="ListParagraph"/>
        <w:numPr>
          <w:ilvl w:val="0"/>
          <w:numId w:val="3"/>
        </w:numPr>
        <w:jc w:val="both"/>
        <w:rPr>
          <w:szCs w:val="22"/>
        </w:rPr>
      </w:pPr>
      <w:r w:rsidRPr="006D71B0">
        <w:rPr>
          <w:b/>
          <w:szCs w:val="22"/>
        </w:rPr>
        <w:t>Objectives of the Technical Assistance</w:t>
      </w:r>
    </w:p>
    <w:p w14:paraId="71BF3DCE" w14:textId="77777777" w:rsidR="006D71B0" w:rsidRDefault="006D71B0" w:rsidP="006D71B0">
      <w:pPr>
        <w:jc w:val="both"/>
        <w:rPr>
          <w:szCs w:val="22"/>
        </w:rPr>
      </w:pPr>
    </w:p>
    <w:p w14:paraId="50B2F3CF" w14:textId="77777777" w:rsidR="006D71B0" w:rsidRPr="006D71B0" w:rsidRDefault="006D71B0" w:rsidP="006D71B0">
      <w:pPr>
        <w:jc w:val="both"/>
        <w:rPr>
          <w:szCs w:val="22"/>
        </w:rPr>
      </w:pPr>
      <w:r w:rsidRPr="006D71B0">
        <w:rPr>
          <w:szCs w:val="22"/>
        </w:rPr>
        <w:t>To increase country understanding and ownership of risk management in order to effectively mitigate risks associated with implementation of the HIV, Tuberculosis and malaria programs funded by the Global Fund’s New Funding Model (NFM) grants in Lao PDR.</w:t>
      </w:r>
    </w:p>
    <w:p w14:paraId="7E40BF2B" w14:textId="77777777" w:rsidR="004D3D03" w:rsidRPr="00706288" w:rsidRDefault="004D3D03" w:rsidP="00706288">
      <w:pPr>
        <w:pStyle w:val="ListParagraph"/>
        <w:jc w:val="both"/>
        <w:rPr>
          <w:szCs w:val="22"/>
        </w:rPr>
      </w:pPr>
    </w:p>
    <w:p w14:paraId="5D47FFEF" w14:textId="2D18AE4C" w:rsidR="00A83B71" w:rsidRDefault="00A83B71" w:rsidP="00E778CF">
      <w:pPr>
        <w:pStyle w:val="ListParagraph"/>
        <w:numPr>
          <w:ilvl w:val="0"/>
          <w:numId w:val="3"/>
        </w:numPr>
        <w:ind w:left="426" w:hanging="426"/>
        <w:jc w:val="both"/>
        <w:rPr>
          <w:b/>
          <w:szCs w:val="22"/>
        </w:rPr>
      </w:pPr>
      <w:r w:rsidRPr="00A028D4">
        <w:rPr>
          <w:b/>
          <w:szCs w:val="22"/>
        </w:rPr>
        <w:t>Description of the activities to be carried</w:t>
      </w:r>
      <w:r w:rsidR="00560465">
        <w:rPr>
          <w:b/>
          <w:szCs w:val="22"/>
        </w:rPr>
        <w:t xml:space="preserve"> </w:t>
      </w:r>
      <w:r w:rsidR="00560465" w:rsidRPr="00A028D4">
        <w:rPr>
          <w:b/>
          <w:szCs w:val="22"/>
        </w:rPr>
        <w:t>out</w:t>
      </w:r>
      <w:r w:rsidR="00560465">
        <w:rPr>
          <w:b/>
          <w:szCs w:val="22"/>
        </w:rPr>
        <w:t xml:space="preserve"> </w:t>
      </w:r>
      <w:r w:rsidR="006D71B0">
        <w:rPr>
          <w:b/>
          <w:szCs w:val="22"/>
        </w:rPr>
        <w:t>with the requested Technical Assistance funding</w:t>
      </w:r>
    </w:p>
    <w:p w14:paraId="6407DAA7" w14:textId="77777777" w:rsidR="00560465" w:rsidRPr="00A028D4" w:rsidRDefault="00560465" w:rsidP="00560465">
      <w:pPr>
        <w:pStyle w:val="ListParagraph"/>
        <w:ind w:left="426"/>
        <w:jc w:val="both"/>
        <w:rPr>
          <w:b/>
          <w:szCs w:val="22"/>
        </w:rPr>
      </w:pPr>
    </w:p>
    <w:p w14:paraId="5D002115" w14:textId="62BAD4A6" w:rsidR="009A590E" w:rsidRDefault="00DE5FF0" w:rsidP="005E27BA">
      <w:pPr>
        <w:pStyle w:val="Default"/>
        <w:jc w:val="both"/>
        <w:rPr>
          <w:rFonts w:ascii="Georgia" w:hAnsi="Georgia"/>
          <w:sz w:val="22"/>
          <w:szCs w:val="22"/>
        </w:rPr>
      </w:pPr>
      <w:r>
        <w:rPr>
          <w:rFonts w:ascii="Georgia" w:hAnsi="Georgia"/>
          <w:sz w:val="22"/>
          <w:szCs w:val="22"/>
        </w:rPr>
        <w:t>The</w:t>
      </w:r>
      <w:r w:rsidR="00506CBE" w:rsidRPr="00A028D4">
        <w:rPr>
          <w:rFonts w:ascii="Georgia" w:hAnsi="Georgia"/>
          <w:sz w:val="22"/>
          <w:szCs w:val="22"/>
        </w:rPr>
        <w:t xml:space="preserve"> consultant will work closely with </w:t>
      </w:r>
      <w:r w:rsidR="005E27BA">
        <w:rPr>
          <w:rFonts w:ascii="Georgia" w:hAnsi="Georgia"/>
          <w:sz w:val="22"/>
          <w:szCs w:val="22"/>
        </w:rPr>
        <w:t xml:space="preserve">CHAS, NTP, CMPE, </w:t>
      </w:r>
      <w:r w:rsidR="00506CBE" w:rsidRPr="00A028D4">
        <w:rPr>
          <w:rFonts w:ascii="Georgia" w:hAnsi="Georgia"/>
          <w:sz w:val="22"/>
          <w:szCs w:val="22"/>
        </w:rPr>
        <w:t>the PR, the Oversight Committee, the C</w:t>
      </w:r>
      <w:r w:rsidR="00116438">
        <w:rPr>
          <w:rFonts w:ascii="Georgia" w:hAnsi="Georgia"/>
          <w:sz w:val="22"/>
          <w:szCs w:val="22"/>
        </w:rPr>
        <w:t>ounty Coordinating Mechanism (C</w:t>
      </w:r>
      <w:r w:rsidR="00506CBE" w:rsidRPr="00A028D4">
        <w:rPr>
          <w:rFonts w:ascii="Georgia" w:hAnsi="Georgia"/>
          <w:sz w:val="22"/>
          <w:szCs w:val="22"/>
        </w:rPr>
        <w:t>CM</w:t>
      </w:r>
      <w:r w:rsidR="00116438">
        <w:rPr>
          <w:rFonts w:ascii="Georgia" w:hAnsi="Georgia"/>
          <w:sz w:val="22"/>
          <w:szCs w:val="22"/>
        </w:rPr>
        <w:t>)</w:t>
      </w:r>
      <w:r w:rsidR="00506CBE" w:rsidRPr="00A028D4">
        <w:rPr>
          <w:rFonts w:ascii="Georgia" w:hAnsi="Georgia"/>
          <w:sz w:val="22"/>
          <w:szCs w:val="22"/>
        </w:rPr>
        <w:t>, development partners</w:t>
      </w:r>
      <w:r w:rsidR="007E7D70" w:rsidRPr="00A028D4">
        <w:rPr>
          <w:rFonts w:ascii="Georgia" w:hAnsi="Georgia"/>
          <w:sz w:val="22"/>
          <w:szCs w:val="22"/>
        </w:rPr>
        <w:t xml:space="preserve">, as well as </w:t>
      </w:r>
      <w:r w:rsidR="00506CBE" w:rsidRPr="00A028D4">
        <w:rPr>
          <w:rFonts w:ascii="Georgia" w:hAnsi="Georgia"/>
          <w:sz w:val="22"/>
          <w:szCs w:val="22"/>
        </w:rPr>
        <w:t>the Global Fund Country Team in Geneva</w:t>
      </w:r>
      <w:r w:rsidR="007E7D70" w:rsidRPr="00A028D4">
        <w:rPr>
          <w:rFonts w:ascii="Georgia" w:hAnsi="Georgia"/>
          <w:sz w:val="22"/>
          <w:szCs w:val="22"/>
        </w:rPr>
        <w:t>. These</w:t>
      </w:r>
      <w:r w:rsidR="00E778CF" w:rsidRPr="00A028D4">
        <w:rPr>
          <w:rFonts w:ascii="Georgia" w:hAnsi="Georgia"/>
          <w:sz w:val="22"/>
          <w:szCs w:val="22"/>
        </w:rPr>
        <w:t xml:space="preserve"> task</w:t>
      </w:r>
      <w:r w:rsidR="007E7D70" w:rsidRPr="00A028D4">
        <w:rPr>
          <w:rFonts w:ascii="Georgia" w:hAnsi="Georgia"/>
          <w:sz w:val="22"/>
          <w:szCs w:val="22"/>
        </w:rPr>
        <w:t>s</w:t>
      </w:r>
      <w:r w:rsidR="00E778CF" w:rsidRPr="00A028D4">
        <w:rPr>
          <w:rFonts w:ascii="Georgia" w:hAnsi="Georgia"/>
          <w:sz w:val="22"/>
          <w:szCs w:val="22"/>
        </w:rPr>
        <w:t xml:space="preserve"> will require extensive discussion with the </w:t>
      </w:r>
      <w:r w:rsidR="005E27BA">
        <w:rPr>
          <w:rFonts w:ascii="Georgia" w:hAnsi="Georgia"/>
          <w:sz w:val="22"/>
          <w:szCs w:val="22"/>
        </w:rPr>
        <w:t>HIV, TB and malaria</w:t>
      </w:r>
      <w:r w:rsidR="00E778CF" w:rsidRPr="00A028D4">
        <w:rPr>
          <w:rFonts w:ascii="Georgia" w:hAnsi="Georgia"/>
          <w:sz w:val="22"/>
          <w:szCs w:val="22"/>
        </w:rPr>
        <w:t xml:space="preserve"> task force</w:t>
      </w:r>
      <w:r w:rsidR="005E27BA">
        <w:rPr>
          <w:rFonts w:ascii="Georgia" w:hAnsi="Georgia"/>
          <w:sz w:val="22"/>
          <w:szCs w:val="22"/>
        </w:rPr>
        <w:t>s</w:t>
      </w:r>
      <w:r w:rsidR="00E778CF" w:rsidRPr="00A028D4">
        <w:rPr>
          <w:rFonts w:ascii="Georgia" w:hAnsi="Georgia"/>
          <w:sz w:val="22"/>
          <w:szCs w:val="22"/>
        </w:rPr>
        <w:t xml:space="preserve">, </w:t>
      </w:r>
      <w:r>
        <w:rPr>
          <w:rFonts w:ascii="Georgia" w:hAnsi="Georgia"/>
          <w:sz w:val="22"/>
          <w:szCs w:val="22"/>
        </w:rPr>
        <w:t>relevant</w:t>
      </w:r>
      <w:r w:rsidR="00E778CF" w:rsidRPr="00A028D4">
        <w:rPr>
          <w:rFonts w:ascii="Georgia" w:hAnsi="Georgia"/>
          <w:sz w:val="22"/>
          <w:szCs w:val="22"/>
        </w:rPr>
        <w:t xml:space="preserve"> departments within the Ministry of Health and other stakeholders. </w:t>
      </w:r>
      <w:r w:rsidR="00116438">
        <w:rPr>
          <w:rFonts w:ascii="Georgia" w:hAnsi="Georgia"/>
          <w:sz w:val="22"/>
          <w:szCs w:val="22"/>
        </w:rPr>
        <w:t xml:space="preserve">The consultant </w:t>
      </w:r>
      <w:r>
        <w:rPr>
          <w:rFonts w:ascii="Georgia" w:hAnsi="Georgia"/>
          <w:sz w:val="22"/>
          <w:szCs w:val="22"/>
        </w:rPr>
        <w:t xml:space="preserve">will also </w:t>
      </w:r>
      <w:r w:rsidR="00116438">
        <w:rPr>
          <w:rFonts w:ascii="Georgia" w:hAnsi="Georgia"/>
          <w:sz w:val="22"/>
          <w:szCs w:val="22"/>
        </w:rPr>
        <w:t xml:space="preserve">work closely with any other technical </w:t>
      </w:r>
      <w:r w:rsidR="004A0DD3">
        <w:rPr>
          <w:rFonts w:ascii="Georgia" w:hAnsi="Georgia"/>
          <w:sz w:val="22"/>
          <w:szCs w:val="22"/>
        </w:rPr>
        <w:t xml:space="preserve">advisors </w:t>
      </w:r>
      <w:r w:rsidR="00116438">
        <w:rPr>
          <w:rFonts w:ascii="Georgia" w:hAnsi="Georgia"/>
          <w:sz w:val="22"/>
          <w:szCs w:val="22"/>
        </w:rPr>
        <w:t xml:space="preserve">contracted </w:t>
      </w:r>
      <w:r w:rsidR="004A0DD3">
        <w:rPr>
          <w:rFonts w:ascii="Georgia" w:hAnsi="Georgia"/>
          <w:sz w:val="22"/>
          <w:szCs w:val="22"/>
        </w:rPr>
        <w:t xml:space="preserve">under </w:t>
      </w:r>
      <w:r w:rsidR="005E27BA">
        <w:rPr>
          <w:rFonts w:ascii="Georgia" w:hAnsi="Georgia"/>
          <w:sz w:val="22"/>
          <w:szCs w:val="22"/>
        </w:rPr>
        <w:t>the disease grants.</w:t>
      </w:r>
      <w:r w:rsidR="00116438">
        <w:rPr>
          <w:rFonts w:ascii="Georgia" w:hAnsi="Georgia"/>
          <w:sz w:val="22"/>
          <w:szCs w:val="22"/>
        </w:rPr>
        <w:t xml:space="preserve"> </w:t>
      </w:r>
    </w:p>
    <w:p w14:paraId="6F48C230" w14:textId="77777777" w:rsidR="00706288" w:rsidRDefault="00706288" w:rsidP="009A590E">
      <w:pPr>
        <w:jc w:val="both"/>
        <w:rPr>
          <w:szCs w:val="22"/>
        </w:rPr>
      </w:pPr>
    </w:p>
    <w:p w14:paraId="2C63BF83" w14:textId="174EF7B3" w:rsidR="00F44D2E" w:rsidRDefault="00F44D2E" w:rsidP="00BF4DBB">
      <w:pPr>
        <w:jc w:val="both"/>
        <w:rPr>
          <w:szCs w:val="22"/>
        </w:rPr>
      </w:pPr>
      <w:r>
        <w:rPr>
          <w:szCs w:val="22"/>
        </w:rPr>
        <w:t xml:space="preserve">Ideally, </w:t>
      </w:r>
      <w:r w:rsidR="008D71D7">
        <w:rPr>
          <w:szCs w:val="22"/>
        </w:rPr>
        <w:t xml:space="preserve">the </w:t>
      </w:r>
      <w:r w:rsidR="006730FA">
        <w:rPr>
          <w:szCs w:val="22"/>
        </w:rPr>
        <w:t xml:space="preserve">TA </w:t>
      </w:r>
      <w:r>
        <w:rPr>
          <w:szCs w:val="22"/>
        </w:rPr>
        <w:t>should be performed</w:t>
      </w:r>
      <w:r w:rsidR="006730FA">
        <w:rPr>
          <w:szCs w:val="22"/>
        </w:rPr>
        <w:t xml:space="preserve"> </w:t>
      </w:r>
      <w:r>
        <w:rPr>
          <w:szCs w:val="22"/>
        </w:rPr>
        <w:t>in two distinct phases:</w:t>
      </w:r>
    </w:p>
    <w:p w14:paraId="377825CD" w14:textId="77777777" w:rsidR="00DE5FF0" w:rsidRDefault="00DE5FF0" w:rsidP="00BF4DBB">
      <w:pPr>
        <w:jc w:val="both"/>
        <w:rPr>
          <w:szCs w:val="22"/>
        </w:rPr>
      </w:pPr>
    </w:p>
    <w:p w14:paraId="69E9090A" w14:textId="1E75EA91" w:rsidR="00F44D2E" w:rsidRDefault="00F44D2E" w:rsidP="00DE5FF0">
      <w:pPr>
        <w:pStyle w:val="Default"/>
        <w:numPr>
          <w:ilvl w:val="0"/>
          <w:numId w:val="17"/>
        </w:numPr>
        <w:ind w:left="426" w:hanging="284"/>
        <w:jc w:val="both"/>
        <w:rPr>
          <w:rFonts w:ascii="Georgia" w:hAnsi="Georgia"/>
          <w:sz w:val="22"/>
          <w:szCs w:val="22"/>
        </w:rPr>
      </w:pPr>
      <w:r>
        <w:rPr>
          <w:rFonts w:ascii="Georgia" w:hAnsi="Georgia"/>
          <w:sz w:val="22"/>
          <w:szCs w:val="22"/>
        </w:rPr>
        <w:t>Lead a participatory risk assessment and development of risk mitigation framework</w:t>
      </w:r>
      <w:r w:rsidR="00AA0F16">
        <w:rPr>
          <w:rFonts w:ascii="Georgia" w:hAnsi="Georgia"/>
          <w:sz w:val="22"/>
          <w:szCs w:val="22"/>
        </w:rPr>
        <w:t xml:space="preserve"> and action plan</w:t>
      </w:r>
      <w:r>
        <w:rPr>
          <w:rFonts w:ascii="Georgia" w:hAnsi="Georgia"/>
          <w:sz w:val="22"/>
          <w:szCs w:val="22"/>
        </w:rPr>
        <w:t>;</w:t>
      </w:r>
    </w:p>
    <w:p w14:paraId="687346E7" w14:textId="5E67B7FC" w:rsidR="00F44D2E" w:rsidRDefault="00F44D2E" w:rsidP="00DE5FF0">
      <w:pPr>
        <w:pStyle w:val="Default"/>
        <w:numPr>
          <w:ilvl w:val="0"/>
          <w:numId w:val="17"/>
        </w:numPr>
        <w:ind w:left="426" w:hanging="284"/>
        <w:jc w:val="both"/>
        <w:rPr>
          <w:rFonts w:ascii="Georgia" w:hAnsi="Georgia"/>
          <w:sz w:val="22"/>
          <w:szCs w:val="22"/>
        </w:rPr>
      </w:pPr>
      <w:r>
        <w:rPr>
          <w:rFonts w:ascii="Georgia" w:hAnsi="Georgia"/>
          <w:sz w:val="22"/>
          <w:szCs w:val="22"/>
        </w:rPr>
        <w:t>Undertake periodic oversight of implementation of the developed framework</w:t>
      </w:r>
      <w:r w:rsidR="00AA0F16">
        <w:rPr>
          <w:rFonts w:ascii="Georgia" w:hAnsi="Georgia"/>
          <w:sz w:val="22"/>
          <w:szCs w:val="22"/>
        </w:rPr>
        <w:t xml:space="preserve"> action plan </w:t>
      </w:r>
    </w:p>
    <w:p w14:paraId="4B3EC68D" w14:textId="18E7C063" w:rsidR="00FB235C" w:rsidRPr="00FB235C" w:rsidRDefault="00FB235C" w:rsidP="00FB235C">
      <w:pPr>
        <w:ind w:firstLine="142"/>
        <w:jc w:val="both"/>
        <w:rPr>
          <w:i/>
          <w:szCs w:val="22"/>
        </w:rPr>
      </w:pPr>
      <w:r w:rsidRPr="00FB235C">
        <w:rPr>
          <w:i/>
          <w:szCs w:val="22"/>
        </w:rPr>
        <w:lastRenderedPageBreak/>
        <w:t>Phase A:</w:t>
      </w:r>
    </w:p>
    <w:p w14:paraId="5FB686D7" w14:textId="4253F247" w:rsidR="008D71D7" w:rsidRPr="00FB235C" w:rsidRDefault="00F44D2E" w:rsidP="00FB235C">
      <w:pPr>
        <w:ind w:left="142"/>
        <w:jc w:val="both"/>
        <w:rPr>
          <w:szCs w:val="22"/>
        </w:rPr>
      </w:pPr>
      <w:r w:rsidRPr="00CC7C88">
        <w:rPr>
          <w:i/>
          <w:szCs w:val="22"/>
          <w:u w:val="single"/>
        </w:rPr>
        <w:t xml:space="preserve">Risk Assessment and development of a </w:t>
      </w:r>
      <w:r w:rsidR="007E7D70" w:rsidRPr="00CC7C88">
        <w:rPr>
          <w:i/>
          <w:szCs w:val="22"/>
          <w:u w:val="single"/>
        </w:rPr>
        <w:t xml:space="preserve">risk management </w:t>
      </w:r>
      <w:r w:rsidR="00706288" w:rsidRPr="00CC7C88">
        <w:rPr>
          <w:i/>
          <w:szCs w:val="22"/>
          <w:u w:val="single"/>
        </w:rPr>
        <w:t>framework</w:t>
      </w:r>
      <w:r w:rsidRPr="00CC7C88">
        <w:rPr>
          <w:i/>
          <w:szCs w:val="22"/>
          <w:u w:val="single"/>
        </w:rPr>
        <w:t>:</w:t>
      </w:r>
      <w:r w:rsidR="007E7D70" w:rsidRPr="00FB235C">
        <w:rPr>
          <w:szCs w:val="22"/>
        </w:rPr>
        <w:t xml:space="preserve"> i</w:t>
      </w:r>
      <w:r w:rsidR="00E778CF" w:rsidRPr="00FB235C">
        <w:rPr>
          <w:szCs w:val="22"/>
        </w:rPr>
        <w:t xml:space="preserve">t will be important for the consultant to clearly define the methodology for the risk management analysis and </w:t>
      </w:r>
      <w:r w:rsidR="00AA0F16" w:rsidRPr="00FB235C">
        <w:rPr>
          <w:szCs w:val="22"/>
        </w:rPr>
        <w:t>any implications in changes to program implementation</w:t>
      </w:r>
      <w:r w:rsidR="00E778CF" w:rsidRPr="00FB235C">
        <w:rPr>
          <w:szCs w:val="22"/>
        </w:rPr>
        <w:t xml:space="preserve">, in order to provide the country stakeholders ownership of the process throughout grant </w:t>
      </w:r>
      <w:r w:rsidR="00F125EE" w:rsidRPr="00FB235C">
        <w:rPr>
          <w:szCs w:val="22"/>
        </w:rPr>
        <w:t>implementation</w:t>
      </w:r>
      <w:r w:rsidR="00E778CF" w:rsidRPr="00FB235C">
        <w:rPr>
          <w:szCs w:val="22"/>
        </w:rPr>
        <w:t xml:space="preserve">. </w:t>
      </w:r>
      <w:r w:rsidR="00BF4DBB" w:rsidRPr="00FB235C">
        <w:rPr>
          <w:szCs w:val="22"/>
        </w:rPr>
        <w:t>The consultant will be instrumental in facilitating discussions between the HIV, malaria and TB programs to work together and ensure that there is clear and open communication between the programs, in order to best align the</w:t>
      </w:r>
      <w:r w:rsidR="003C56E8" w:rsidRPr="00FB235C">
        <w:rPr>
          <w:szCs w:val="22"/>
        </w:rPr>
        <w:t xml:space="preserve"> changes and </w:t>
      </w:r>
      <w:r w:rsidR="005E27BA" w:rsidRPr="00FB235C">
        <w:rPr>
          <w:szCs w:val="22"/>
        </w:rPr>
        <w:t>improvements to implementation of the grants</w:t>
      </w:r>
      <w:r w:rsidR="00BF4DBB" w:rsidRPr="00FB235C">
        <w:rPr>
          <w:szCs w:val="22"/>
        </w:rPr>
        <w:t xml:space="preserve">. </w:t>
      </w:r>
    </w:p>
    <w:p w14:paraId="1E8DC2AB" w14:textId="77777777" w:rsidR="00BF4DBB" w:rsidRPr="00706288" w:rsidRDefault="00BF4DBB" w:rsidP="00E778CF">
      <w:pPr>
        <w:pStyle w:val="Default"/>
        <w:jc w:val="both"/>
        <w:rPr>
          <w:rFonts w:ascii="Georgia" w:hAnsi="Georgia"/>
          <w:sz w:val="22"/>
          <w:szCs w:val="22"/>
          <w:lang w:val="en-US"/>
        </w:rPr>
      </w:pPr>
    </w:p>
    <w:p w14:paraId="38D9011A" w14:textId="547B4EE9" w:rsidR="00925F0A" w:rsidRDefault="00E778CF" w:rsidP="00FB235C">
      <w:pPr>
        <w:pStyle w:val="Default"/>
        <w:ind w:left="142"/>
        <w:jc w:val="both"/>
        <w:rPr>
          <w:rFonts w:ascii="Georgia" w:hAnsi="Georgia"/>
          <w:sz w:val="22"/>
          <w:szCs w:val="22"/>
        </w:rPr>
      </w:pPr>
      <w:r w:rsidRPr="00A028D4">
        <w:rPr>
          <w:rFonts w:ascii="Georgia" w:hAnsi="Georgia"/>
          <w:sz w:val="22"/>
          <w:szCs w:val="22"/>
        </w:rPr>
        <w:t xml:space="preserve">Upon </w:t>
      </w:r>
      <w:r w:rsidR="00AA0F16">
        <w:rPr>
          <w:rFonts w:ascii="Georgia" w:hAnsi="Georgia"/>
          <w:sz w:val="22"/>
          <w:szCs w:val="22"/>
        </w:rPr>
        <w:t xml:space="preserve">the development of the framework action plan, for </w:t>
      </w:r>
      <w:r w:rsidRPr="00A028D4">
        <w:rPr>
          <w:rFonts w:ascii="Georgia" w:hAnsi="Georgia"/>
          <w:sz w:val="22"/>
          <w:szCs w:val="22"/>
        </w:rPr>
        <w:t xml:space="preserve">the </w:t>
      </w:r>
      <w:r w:rsidR="005E27BA">
        <w:rPr>
          <w:rFonts w:ascii="Georgia" w:hAnsi="Georgia"/>
          <w:sz w:val="22"/>
          <w:szCs w:val="22"/>
        </w:rPr>
        <w:t xml:space="preserve">HIV, TB and malaria </w:t>
      </w:r>
      <w:r w:rsidRPr="00A028D4">
        <w:rPr>
          <w:rFonts w:ascii="Georgia" w:hAnsi="Georgia"/>
          <w:sz w:val="22"/>
          <w:szCs w:val="22"/>
        </w:rPr>
        <w:t>grant</w:t>
      </w:r>
      <w:r w:rsidR="005E27BA">
        <w:rPr>
          <w:rFonts w:ascii="Georgia" w:hAnsi="Georgia"/>
          <w:sz w:val="22"/>
          <w:szCs w:val="22"/>
        </w:rPr>
        <w:t>s</w:t>
      </w:r>
      <w:r w:rsidRPr="00A028D4">
        <w:rPr>
          <w:rFonts w:ascii="Georgia" w:hAnsi="Georgia"/>
          <w:sz w:val="22"/>
          <w:szCs w:val="22"/>
        </w:rPr>
        <w:t xml:space="preserve">, the work plan and </w:t>
      </w:r>
      <w:r w:rsidR="0079016E">
        <w:rPr>
          <w:rFonts w:ascii="Georgia" w:hAnsi="Georgia"/>
          <w:sz w:val="22"/>
          <w:szCs w:val="22"/>
        </w:rPr>
        <w:t>monitoring and evaluation plan</w:t>
      </w:r>
      <w:r w:rsidRPr="00A028D4">
        <w:rPr>
          <w:rFonts w:ascii="Georgia" w:hAnsi="Georgia"/>
          <w:sz w:val="22"/>
          <w:szCs w:val="22"/>
        </w:rPr>
        <w:t xml:space="preserve"> will need to clearly state </w:t>
      </w:r>
      <w:r w:rsidR="003861D8">
        <w:rPr>
          <w:rFonts w:ascii="Georgia" w:hAnsi="Georgia"/>
          <w:sz w:val="22"/>
          <w:szCs w:val="22"/>
        </w:rPr>
        <w:t>milestone dates</w:t>
      </w:r>
      <w:r w:rsidR="00DE5FF0">
        <w:rPr>
          <w:rFonts w:ascii="Georgia" w:hAnsi="Georgia"/>
          <w:sz w:val="22"/>
          <w:szCs w:val="22"/>
        </w:rPr>
        <w:t>. W</w:t>
      </w:r>
      <w:r w:rsidRPr="00A028D4">
        <w:rPr>
          <w:rFonts w:ascii="Georgia" w:hAnsi="Georgia"/>
          <w:sz w:val="22"/>
          <w:szCs w:val="22"/>
        </w:rPr>
        <w:t xml:space="preserve">ho will be responsible for each activity </w:t>
      </w:r>
      <w:r w:rsidR="00DE5FF0">
        <w:rPr>
          <w:rFonts w:ascii="Georgia" w:hAnsi="Georgia"/>
          <w:sz w:val="22"/>
          <w:szCs w:val="22"/>
        </w:rPr>
        <w:t xml:space="preserve">should be </w:t>
      </w:r>
      <w:r w:rsidRPr="00A028D4">
        <w:rPr>
          <w:rFonts w:ascii="Georgia" w:hAnsi="Georgia"/>
          <w:sz w:val="22"/>
          <w:szCs w:val="22"/>
        </w:rPr>
        <w:t xml:space="preserve">included in the </w:t>
      </w:r>
      <w:r w:rsidR="00DE5FF0" w:rsidRPr="00A028D4">
        <w:rPr>
          <w:rFonts w:ascii="Georgia" w:hAnsi="Georgia"/>
          <w:sz w:val="22"/>
          <w:szCs w:val="22"/>
        </w:rPr>
        <w:t>work plan</w:t>
      </w:r>
      <w:r w:rsidRPr="00A028D4">
        <w:rPr>
          <w:rFonts w:ascii="Georgia" w:hAnsi="Georgia"/>
          <w:sz w:val="22"/>
          <w:szCs w:val="22"/>
        </w:rPr>
        <w:t xml:space="preserve">. </w:t>
      </w:r>
      <w:r w:rsidR="00AA0F16">
        <w:rPr>
          <w:rFonts w:ascii="Georgia" w:hAnsi="Georgia"/>
          <w:sz w:val="22"/>
          <w:szCs w:val="22"/>
        </w:rPr>
        <w:t xml:space="preserve">In addition, those </w:t>
      </w:r>
      <w:r w:rsidR="00BF4DBB">
        <w:rPr>
          <w:rFonts w:ascii="Georgia" w:hAnsi="Georgia"/>
          <w:sz w:val="22"/>
          <w:szCs w:val="22"/>
        </w:rPr>
        <w:t>stakeholders that are directly affected by the change</w:t>
      </w:r>
      <w:r w:rsidR="00AA0F16">
        <w:rPr>
          <w:rFonts w:ascii="Georgia" w:hAnsi="Georgia"/>
          <w:sz w:val="22"/>
          <w:szCs w:val="22"/>
        </w:rPr>
        <w:t>s to program impl</w:t>
      </w:r>
      <w:r w:rsidR="00A07F54">
        <w:rPr>
          <w:rFonts w:ascii="Georgia" w:hAnsi="Georgia"/>
          <w:sz w:val="22"/>
          <w:szCs w:val="22"/>
        </w:rPr>
        <w:t>ementa</w:t>
      </w:r>
      <w:r w:rsidR="00AA0F16">
        <w:rPr>
          <w:rFonts w:ascii="Georgia" w:hAnsi="Georgia"/>
          <w:sz w:val="22"/>
          <w:szCs w:val="22"/>
        </w:rPr>
        <w:t>tion</w:t>
      </w:r>
      <w:r w:rsidR="00BF4DBB">
        <w:rPr>
          <w:rFonts w:ascii="Georgia" w:hAnsi="Georgia"/>
          <w:sz w:val="22"/>
          <w:szCs w:val="22"/>
        </w:rPr>
        <w:t xml:space="preserve"> </w:t>
      </w:r>
      <w:r w:rsidR="00AA0F16">
        <w:rPr>
          <w:rFonts w:ascii="Georgia" w:hAnsi="Georgia"/>
          <w:sz w:val="22"/>
          <w:szCs w:val="22"/>
        </w:rPr>
        <w:t xml:space="preserve">within </w:t>
      </w:r>
      <w:r w:rsidR="00BF4DBB">
        <w:rPr>
          <w:rFonts w:ascii="Georgia" w:hAnsi="Georgia"/>
          <w:sz w:val="22"/>
          <w:szCs w:val="22"/>
        </w:rPr>
        <w:t>the</w:t>
      </w:r>
      <w:r w:rsidR="005E27BA">
        <w:rPr>
          <w:rFonts w:ascii="Georgia" w:hAnsi="Georgia"/>
          <w:sz w:val="22"/>
          <w:szCs w:val="22"/>
        </w:rPr>
        <w:t>se</w:t>
      </w:r>
      <w:r w:rsidR="00BF4DBB">
        <w:rPr>
          <w:rFonts w:ascii="Georgia" w:hAnsi="Georgia"/>
          <w:sz w:val="22"/>
          <w:szCs w:val="22"/>
        </w:rPr>
        <w:t xml:space="preserve"> grant</w:t>
      </w:r>
      <w:r w:rsidR="005E27BA">
        <w:rPr>
          <w:rFonts w:ascii="Georgia" w:hAnsi="Georgia"/>
          <w:sz w:val="22"/>
          <w:szCs w:val="22"/>
        </w:rPr>
        <w:t>s</w:t>
      </w:r>
      <w:r w:rsidR="00BF4DBB">
        <w:rPr>
          <w:rFonts w:ascii="Georgia" w:hAnsi="Georgia"/>
          <w:sz w:val="22"/>
          <w:szCs w:val="22"/>
        </w:rPr>
        <w:t xml:space="preserve"> should be involved in the development and direct implementation of th</w:t>
      </w:r>
      <w:r w:rsidR="00AA0F16">
        <w:rPr>
          <w:rFonts w:ascii="Georgia" w:hAnsi="Georgia"/>
          <w:sz w:val="22"/>
          <w:szCs w:val="22"/>
        </w:rPr>
        <w:t>is action plan</w:t>
      </w:r>
      <w:r w:rsidR="00BF4DBB">
        <w:rPr>
          <w:rFonts w:ascii="Georgia" w:hAnsi="Georgia"/>
          <w:sz w:val="22"/>
          <w:szCs w:val="22"/>
        </w:rPr>
        <w:t xml:space="preserve">. </w:t>
      </w:r>
    </w:p>
    <w:p w14:paraId="780C15B0" w14:textId="77777777" w:rsidR="00E778CF" w:rsidRDefault="00E778CF" w:rsidP="00E778CF">
      <w:pPr>
        <w:pStyle w:val="Default"/>
        <w:jc w:val="both"/>
        <w:rPr>
          <w:rFonts w:ascii="Georgia" w:hAnsi="Georgia"/>
          <w:sz w:val="22"/>
          <w:szCs w:val="22"/>
        </w:rPr>
      </w:pPr>
    </w:p>
    <w:p w14:paraId="0B8C3AFE" w14:textId="77777777" w:rsidR="00FB235C" w:rsidRPr="00FB235C" w:rsidRDefault="00FB235C" w:rsidP="00FB235C">
      <w:pPr>
        <w:pStyle w:val="Default"/>
        <w:ind w:firstLine="142"/>
        <w:jc w:val="both"/>
        <w:rPr>
          <w:rFonts w:ascii="Georgia" w:hAnsi="Georgia"/>
          <w:i/>
          <w:sz w:val="22"/>
          <w:szCs w:val="22"/>
        </w:rPr>
      </w:pPr>
      <w:r w:rsidRPr="00FB235C">
        <w:rPr>
          <w:rFonts w:ascii="Georgia" w:hAnsi="Georgia"/>
          <w:i/>
          <w:sz w:val="22"/>
          <w:szCs w:val="22"/>
        </w:rPr>
        <w:t>Phase B:</w:t>
      </w:r>
    </w:p>
    <w:p w14:paraId="121CCD33" w14:textId="22A450F6" w:rsidR="006D71B0" w:rsidRDefault="00F44D2E" w:rsidP="00FB235C">
      <w:pPr>
        <w:pStyle w:val="Default"/>
        <w:ind w:left="142"/>
        <w:jc w:val="both"/>
        <w:rPr>
          <w:rFonts w:ascii="Georgia" w:hAnsi="Georgia"/>
          <w:sz w:val="22"/>
          <w:szCs w:val="22"/>
        </w:rPr>
      </w:pPr>
      <w:r w:rsidRPr="00CC7C88">
        <w:rPr>
          <w:i/>
          <w:szCs w:val="22"/>
          <w:u w:val="single"/>
        </w:rPr>
        <w:t>Oversight</w:t>
      </w:r>
      <w:r>
        <w:rPr>
          <w:rFonts w:ascii="Georgia" w:hAnsi="Georgia"/>
          <w:sz w:val="22"/>
          <w:szCs w:val="22"/>
        </w:rPr>
        <w:t xml:space="preserve"> </w:t>
      </w:r>
      <w:r w:rsidR="00A07F54">
        <w:rPr>
          <w:rFonts w:ascii="Georgia" w:hAnsi="Georgia"/>
          <w:sz w:val="22"/>
          <w:szCs w:val="22"/>
        </w:rPr>
        <w:t>:</w:t>
      </w:r>
      <w:r>
        <w:rPr>
          <w:rFonts w:ascii="Georgia" w:hAnsi="Georgia"/>
          <w:sz w:val="22"/>
          <w:szCs w:val="22"/>
        </w:rPr>
        <w:t xml:space="preserve"> the consultant will periodically </w:t>
      </w:r>
      <w:r w:rsidR="00D150B8">
        <w:rPr>
          <w:rFonts w:ascii="Georgia" w:hAnsi="Georgia"/>
          <w:sz w:val="22"/>
          <w:szCs w:val="22"/>
        </w:rPr>
        <w:t xml:space="preserve">(at key times identified through the risk management framework) visit the country to monitor implementation against the agreed </w:t>
      </w:r>
      <w:r w:rsidR="00DE5FF0">
        <w:rPr>
          <w:rFonts w:ascii="Georgia" w:hAnsi="Georgia"/>
          <w:sz w:val="22"/>
          <w:szCs w:val="22"/>
        </w:rPr>
        <w:t>work plan</w:t>
      </w:r>
      <w:r w:rsidR="00D150B8">
        <w:rPr>
          <w:rFonts w:ascii="Georgia" w:hAnsi="Georgia"/>
          <w:sz w:val="22"/>
          <w:szCs w:val="22"/>
        </w:rPr>
        <w:t xml:space="preserve"> and lead/propose further adjustments as might be needed.</w:t>
      </w:r>
    </w:p>
    <w:p w14:paraId="2396A61F" w14:textId="656FC6E1" w:rsidR="00FE683E" w:rsidRDefault="00FE683E" w:rsidP="00FB235C">
      <w:pPr>
        <w:pStyle w:val="Default"/>
        <w:ind w:left="142"/>
        <w:jc w:val="both"/>
        <w:rPr>
          <w:rFonts w:ascii="Georgia" w:hAnsi="Georgia"/>
          <w:sz w:val="22"/>
          <w:szCs w:val="22"/>
        </w:rPr>
      </w:pPr>
      <w:r>
        <w:rPr>
          <w:rFonts w:ascii="Georgia" w:hAnsi="Georgia"/>
          <w:sz w:val="22"/>
          <w:szCs w:val="22"/>
        </w:rPr>
        <w:t xml:space="preserve">A final report of the TA provided will need to be submitted to the PR, Global Fund Country Team and Luxembourg. </w:t>
      </w:r>
    </w:p>
    <w:p w14:paraId="0C2D9ADB" w14:textId="77777777" w:rsidR="00FE683E" w:rsidRDefault="00FE683E" w:rsidP="00FB235C">
      <w:pPr>
        <w:pStyle w:val="Default"/>
        <w:ind w:left="142"/>
        <w:jc w:val="both"/>
        <w:rPr>
          <w:rFonts w:ascii="Georgia" w:hAnsi="Georgia"/>
          <w:sz w:val="22"/>
          <w:szCs w:val="22"/>
        </w:rPr>
      </w:pPr>
    </w:p>
    <w:p w14:paraId="77D66AA4" w14:textId="77777777" w:rsidR="006D71B0" w:rsidRPr="006D71B0" w:rsidRDefault="006D71B0" w:rsidP="006D71B0">
      <w:pPr>
        <w:numPr>
          <w:ilvl w:val="0"/>
          <w:numId w:val="3"/>
        </w:numPr>
        <w:jc w:val="both"/>
        <w:rPr>
          <w:b/>
          <w:szCs w:val="22"/>
        </w:rPr>
      </w:pPr>
      <w:r w:rsidRPr="006D71B0">
        <w:rPr>
          <w:b/>
          <w:szCs w:val="22"/>
        </w:rPr>
        <w:t>Expected Outcomes of the Technical Assistance</w:t>
      </w:r>
    </w:p>
    <w:p w14:paraId="77C5FB1A" w14:textId="77777777" w:rsidR="006D71B0" w:rsidRPr="006D71B0" w:rsidRDefault="006D71B0" w:rsidP="006D71B0">
      <w:pPr>
        <w:jc w:val="both"/>
        <w:rPr>
          <w:szCs w:val="22"/>
        </w:rPr>
      </w:pPr>
    </w:p>
    <w:p w14:paraId="013F1972" w14:textId="77777777" w:rsidR="006D71B0" w:rsidRPr="006D71B0" w:rsidRDefault="006D71B0" w:rsidP="006D71B0">
      <w:pPr>
        <w:numPr>
          <w:ilvl w:val="0"/>
          <w:numId w:val="10"/>
        </w:numPr>
        <w:jc w:val="both"/>
        <w:rPr>
          <w:szCs w:val="22"/>
          <w:lang w:val="en-GB"/>
        </w:rPr>
      </w:pPr>
      <w:r w:rsidRPr="006D71B0">
        <w:rPr>
          <w:szCs w:val="22"/>
          <w:lang w:val="en-GB"/>
        </w:rPr>
        <w:t>Through a participatory process that fosters understanding, capacity development and ownership, the consultant will develop an approach that:</w:t>
      </w:r>
    </w:p>
    <w:p w14:paraId="6CBFEDC6" w14:textId="77777777" w:rsidR="006D71B0" w:rsidRPr="006D71B0" w:rsidRDefault="006D71B0" w:rsidP="006D71B0">
      <w:pPr>
        <w:numPr>
          <w:ilvl w:val="1"/>
          <w:numId w:val="11"/>
        </w:numPr>
        <w:jc w:val="both"/>
        <w:rPr>
          <w:szCs w:val="22"/>
          <w:lang w:val="en-GB"/>
        </w:rPr>
      </w:pPr>
      <w:r w:rsidRPr="006D71B0">
        <w:rPr>
          <w:szCs w:val="22"/>
          <w:lang w:val="en-GB"/>
        </w:rPr>
        <w:t>Considers implications in changes of implementation arrangements within each grant funded program (TB, HIV and malaria);</w:t>
      </w:r>
    </w:p>
    <w:p w14:paraId="1A11AA16" w14:textId="2E44E848" w:rsidR="006D71B0" w:rsidRPr="006D71B0" w:rsidRDefault="006D71B0" w:rsidP="006D71B0">
      <w:pPr>
        <w:numPr>
          <w:ilvl w:val="1"/>
          <w:numId w:val="11"/>
        </w:numPr>
        <w:jc w:val="both"/>
        <w:rPr>
          <w:szCs w:val="22"/>
          <w:lang w:val="en-GB"/>
        </w:rPr>
      </w:pPr>
      <w:r w:rsidRPr="006D71B0">
        <w:rPr>
          <w:szCs w:val="22"/>
          <w:lang w:val="en-GB"/>
        </w:rPr>
        <w:t xml:space="preserve">Strengthens the HIV, TB and malaria grant’s </w:t>
      </w:r>
      <w:r w:rsidR="00A07F54">
        <w:rPr>
          <w:szCs w:val="22"/>
          <w:lang w:val="en-GB"/>
        </w:rPr>
        <w:t xml:space="preserve">implementation and </w:t>
      </w:r>
      <w:r w:rsidR="00CC7C88">
        <w:rPr>
          <w:szCs w:val="22"/>
          <w:lang w:val="en-GB"/>
        </w:rPr>
        <w:t xml:space="preserve">monitoring </w:t>
      </w:r>
      <w:r w:rsidR="00CC7C88" w:rsidRPr="006D71B0">
        <w:rPr>
          <w:szCs w:val="22"/>
          <w:lang w:val="en-GB"/>
        </w:rPr>
        <w:t>to</w:t>
      </w:r>
      <w:r w:rsidRPr="006D71B0">
        <w:rPr>
          <w:szCs w:val="22"/>
          <w:lang w:val="en-GB"/>
        </w:rPr>
        <w:t xml:space="preserve"> identifying and mitigating risk through the development of a risk management framework. This should clearly identify risks inherent in the planned implementation of these grants and articulate how best to mitigate these risks through ongoing coordinated measures with clearly described relevant responsible /accountable implementing entities.  </w:t>
      </w:r>
    </w:p>
    <w:p w14:paraId="32B6D540" w14:textId="77777777" w:rsidR="006D71B0" w:rsidRPr="006D71B0" w:rsidRDefault="006D71B0" w:rsidP="006D71B0">
      <w:pPr>
        <w:ind w:left="720"/>
        <w:jc w:val="both"/>
        <w:rPr>
          <w:szCs w:val="22"/>
        </w:rPr>
      </w:pPr>
      <w:r w:rsidRPr="006D71B0">
        <w:rPr>
          <w:szCs w:val="22"/>
        </w:rPr>
        <w:t xml:space="preserve">Associated with this, the consultant should facilitate an agreed process/work plan for both monitoring implementation of the risk management framework and overall change management as applicable. </w:t>
      </w:r>
    </w:p>
    <w:p w14:paraId="2B1FC820" w14:textId="77777777" w:rsidR="006D71B0" w:rsidRPr="006D71B0" w:rsidRDefault="006D71B0" w:rsidP="006D71B0">
      <w:pPr>
        <w:jc w:val="both"/>
        <w:rPr>
          <w:szCs w:val="22"/>
          <w:lang w:val="en-GB"/>
        </w:rPr>
      </w:pPr>
    </w:p>
    <w:p w14:paraId="7D4D3F39" w14:textId="77777777" w:rsidR="006D71B0" w:rsidRDefault="006D71B0" w:rsidP="006D71B0">
      <w:pPr>
        <w:numPr>
          <w:ilvl w:val="0"/>
          <w:numId w:val="10"/>
        </w:numPr>
        <w:jc w:val="both"/>
        <w:rPr>
          <w:szCs w:val="22"/>
        </w:rPr>
      </w:pPr>
      <w:r w:rsidRPr="006D71B0">
        <w:rPr>
          <w:szCs w:val="22"/>
        </w:rPr>
        <w:t>The process of achieving these outcomes is also intended to increase the capacity of the relevant stakeholders.  Therefore a skills transfer/capacity development plan should be developed for key/strategic positions.  A counterpart in each of the grants should be a focal point to provide ongoing oversight of work plan implementation monitoring.</w:t>
      </w:r>
    </w:p>
    <w:p w14:paraId="031CAB1F" w14:textId="77777777" w:rsidR="002A0ED0" w:rsidRDefault="002A0ED0" w:rsidP="002A0ED0">
      <w:pPr>
        <w:jc w:val="both"/>
        <w:rPr>
          <w:szCs w:val="22"/>
        </w:rPr>
      </w:pPr>
    </w:p>
    <w:p w14:paraId="7DDD6647" w14:textId="77777777" w:rsidR="002A0ED0" w:rsidRDefault="002A0ED0" w:rsidP="002A0ED0">
      <w:pPr>
        <w:jc w:val="both"/>
        <w:rPr>
          <w:szCs w:val="22"/>
        </w:rPr>
      </w:pPr>
    </w:p>
    <w:p w14:paraId="31A99D78" w14:textId="77777777" w:rsidR="002A0ED0" w:rsidRDefault="002A0ED0" w:rsidP="002A0ED0">
      <w:pPr>
        <w:jc w:val="both"/>
        <w:rPr>
          <w:szCs w:val="22"/>
        </w:rPr>
      </w:pPr>
    </w:p>
    <w:p w14:paraId="530ACFBF" w14:textId="77777777" w:rsidR="002A0ED0" w:rsidRDefault="002A0ED0" w:rsidP="002A0ED0">
      <w:pPr>
        <w:jc w:val="both"/>
        <w:rPr>
          <w:szCs w:val="22"/>
        </w:rPr>
      </w:pPr>
    </w:p>
    <w:p w14:paraId="60D0B358" w14:textId="77777777" w:rsidR="002A0ED0" w:rsidRDefault="002A0ED0" w:rsidP="002A0ED0">
      <w:pPr>
        <w:jc w:val="both"/>
        <w:rPr>
          <w:szCs w:val="22"/>
        </w:rPr>
      </w:pPr>
    </w:p>
    <w:p w14:paraId="417D1275" w14:textId="77777777" w:rsidR="002A0ED0" w:rsidRDefault="002A0ED0" w:rsidP="002A0ED0">
      <w:pPr>
        <w:jc w:val="both"/>
        <w:rPr>
          <w:szCs w:val="22"/>
        </w:rPr>
      </w:pPr>
    </w:p>
    <w:p w14:paraId="534D898D" w14:textId="1122EA53" w:rsidR="006D71B0" w:rsidRPr="008953FB" w:rsidRDefault="008953FB" w:rsidP="006D71B0">
      <w:pPr>
        <w:numPr>
          <w:ilvl w:val="0"/>
          <w:numId w:val="3"/>
        </w:numPr>
        <w:jc w:val="both"/>
        <w:rPr>
          <w:b/>
          <w:szCs w:val="22"/>
        </w:rPr>
      </w:pPr>
      <w:r>
        <w:rPr>
          <w:b/>
          <w:szCs w:val="22"/>
        </w:rPr>
        <w:lastRenderedPageBreak/>
        <w:t>Expected d</w:t>
      </w:r>
      <w:r w:rsidR="00E83057" w:rsidRPr="006D71B0">
        <w:rPr>
          <w:b/>
          <w:szCs w:val="22"/>
        </w:rPr>
        <w:t>eliverables</w:t>
      </w:r>
    </w:p>
    <w:p w14:paraId="5F1672D4" w14:textId="77777777" w:rsidR="006D71B0" w:rsidRPr="006D71B0" w:rsidRDefault="006D71B0" w:rsidP="006D71B0">
      <w:pPr>
        <w:jc w:val="both"/>
        <w:rPr>
          <w:szCs w:val="22"/>
        </w:rPr>
      </w:pPr>
    </w:p>
    <w:tbl>
      <w:tblPr>
        <w:tblStyle w:val="TableGrid"/>
        <w:tblW w:w="0" w:type="auto"/>
        <w:tblInd w:w="-5" w:type="dxa"/>
        <w:tblLook w:val="04A0" w:firstRow="1" w:lastRow="0" w:firstColumn="1" w:lastColumn="0" w:noHBand="0" w:noVBand="1"/>
      </w:tblPr>
      <w:tblGrid>
        <w:gridCol w:w="5529"/>
        <w:gridCol w:w="3106"/>
      </w:tblGrid>
      <w:tr w:rsidR="006D71B0" w:rsidRPr="006D71B0" w14:paraId="7917D50A" w14:textId="77777777" w:rsidTr="006D71B0">
        <w:tc>
          <w:tcPr>
            <w:tcW w:w="5529" w:type="dxa"/>
            <w:shd w:val="clear" w:color="auto" w:fill="C6D9F1" w:themeFill="text2" w:themeFillTint="33"/>
          </w:tcPr>
          <w:p w14:paraId="7B400D7F" w14:textId="77777777" w:rsidR="006D71B0" w:rsidRPr="006D71B0" w:rsidRDefault="006D71B0" w:rsidP="006D71B0">
            <w:pPr>
              <w:jc w:val="both"/>
              <w:rPr>
                <w:b/>
                <w:szCs w:val="22"/>
              </w:rPr>
            </w:pPr>
            <w:r w:rsidRPr="006D71B0">
              <w:rPr>
                <w:b/>
                <w:szCs w:val="22"/>
              </w:rPr>
              <w:t>Deliverable</w:t>
            </w:r>
          </w:p>
        </w:tc>
        <w:tc>
          <w:tcPr>
            <w:tcW w:w="3106" w:type="dxa"/>
            <w:shd w:val="clear" w:color="auto" w:fill="C6D9F1" w:themeFill="text2" w:themeFillTint="33"/>
          </w:tcPr>
          <w:p w14:paraId="6352C336" w14:textId="77777777" w:rsidR="006D71B0" w:rsidRPr="006D71B0" w:rsidRDefault="006D71B0" w:rsidP="006D71B0">
            <w:pPr>
              <w:jc w:val="both"/>
              <w:rPr>
                <w:b/>
                <w:szCs w:val="22"/>
              </w:rPr>
            </w:pPr>
            <w:r w:rsidRPr="006D71B0">
              <w:rPr>
                <w:b/>
                <w:szCs w:val="22"/>
              </w:rPr>
              <w:t>Timeline</w:t>
            </w:r>
          </w:p>
        </w:tc>
      </w:tr>
      <w:tr w:rsidR="006D71B0" w:rsidRPr="006D71B0" w14:paraId="26C8EFB1" w14:textId="77777777" w:rsidTr="006D71B0">
        <w:tc>
          <w:tcPr>
            <w:tcW w:w="5529" w:type="dxa"/>
            <w:shd w:val="clear" w:color="auto" w:fill="C6D9F1" w:themeFill="text2" w:themeFillTint="33"/>
          </w:tcPr>
          <w:p w14:paraId="2254EC73" w14:textId="77777777" w:rsidR="006D71B0" w:rsidRPr="006D71B0" w:rsidRDefault="006D71B0" w:rsidP="006D71B0">
            <w:pPr>
              <w:jc w:val="both"/>
              <w:rPr>
                <w:i/>
                <w:szCs w:val="22"/>
              </w:rPr>
            </w:pPr>
            <w:r w:rsidRPr="006D71B0">
              <w:rPr>
                <w:i/>
                <w:szCs w:val="22"/>
              </w:rPr>
              <w:t>Initial Phase</w:t>
            </w:r>
          </w:p>
        </w:tc>
        <w:tc>
          <w:tcPr>
            <w:tcW w:w="3106" w:type="dxa"/>
            <w:shd w:val="clear" w:color="auto" w:fill="C6D9F1" w:themeFill="text2" w:themeFillTint="33"/>
          </w:tcPr>
          <w:p w14:paraId="2EFFCF85" w14:textId="77777777" w:rsidR="006D71B0" w:rsidRPr="006D71B0" w:rsidRDefault="006D71B0" w:rsidP="006D71B0">
            <w:pPr>
              <w:jc w:val="both"/>
              <w:rPr>
                <w:i/>
                <w:szCs w:val="22"/>
              </w:rPr>
            </w:pPr>
          </w:p>
        </w:tc>
      </w:tr>
      <w:tr w:rsidR="006D71B0" w:rsidRPr="006D71B0" w14:paraId="75F2BC38" w14:textId="77777777" w:rsidTr="006D71B0">
        <w:tc>
          <w:tcPr>
            <w:tcW w:w="5529" w:type="dxa"/>
          </w:tcPr>
          <w:p w14:paraId="05A032FE" w14:textId="2D029E6D" w:rsidR="006D71B0" w:rsidRPr="006D71B0" w:rsidRDefault="006D71B0" w:rsidP="006D71B0">
            <w:pPr>
              <w:numPr>
                <w:ilvl w:val="0"/>
                <w:numId w:val="6"/>
              </w:numPr>
              <w:jc w:val="both"/>
              <w:rPr>
                <w:szCs w:val="22"/>
              </w:rPr>
            </w:pPr>
            <w:r w:rsidRPr="006D71B0">
              <w:rPr>
                <w:szCs w:val="22"/>
              </w:rPr>
              <w:t>Methodology for the development of the overall approach to risk management analysis e.g.</w:t>
            </w:r>
            <w:r w:rsidR="00EB6466">
              <w:rPr>
                <w:szCs w:val="22"/>
              </w:rPr>
              <w:t xml:space="preserve"> General Risk Assessment Management</w:t>
            </w:r>
            <w:r w:rsidRPr="006D71B0">
              <w:rPr>
                <w:szCs w:val="22"/>
              </w:rPr>
              <w:t xml:space="preserve"> </w:t>
            </w:r>
            <w:r w:rsidR="00EB6466">
              <w:rPr>
                <w:szCs w:val="22"/>
              </w:rPr>
              <w:t>(</w:t>
            </w:r>
            <w:r w:rsidRPr="006D71B0">
              <w:rPr>
                <w:szCs w:val="22"/>
              </w:rPr>
              <w:t>GRAM</w:t>
            </w:r>
            <w:r w:rsidR="00EB6466">
              <w:rPr>
                <w:szCs w:val="22"/>
              </w:rPr>
              <w:t>)</w:t>
            </w:r>
            <w:r w:rsidRPr="006D71B0">
              <w:rPr>
                <w:szCs w:val="22"/>
              </w:rPr>
              <w:t xml:space="preserve"> tool </w:t>
            </w:r>
          </w:p>
        </w:tc>
        <w:tc>
          <w:tcPr>
            <w:tcW w:w="3106" w:type="dxa"/>
          </w:tcPr>
          <w:p w14:paraId="6DD0FE02" w14:textId="77777777" w:rsidR="006D71B0" w:rsidRPr="006D71B0" w:rsidRDefault="006D71B0" w:rsidP="006D71B0">
            <w:pPr>
              <w:jc w:val="both"/>
              <w:rPr>
                <w:szCs w:val="22"/>
              </w:rPr>
            </w:pPr>
            <w:r w:rsidRPr="006D71B0">
              <w:rPr>
                <w:szCs w:val="22"/>
              </w:rPr>
              <w:t>TBD</w:t>
            </w:r>
          </w:p>
          <w:p w14:paraId="05AD745D" w14:textId="77777777" w:rsidR="006D71B0" w:rsidRPr="006D71B0" w:rsidRDefault="006D71B0" w:rsidP="006D71B0">
            <w:pPr>
              <w:jc w:val="both"/>
              <w:rPr>
                <w:szCs w:val="22"/>
              </w:rPr>
            </w:pPr>
          </w:p>
          <w:p w14:paraId="6A55BAF8" w14:textId="77777777" w:rsidR="006D71B0" w:rsidRPr="006D71B0" w:rsidRDefault="006D71B0" w:rsidP="006D71B0">
            <w:pPr>
              <w:jc w:val="both"/>
              <w:rPr>
                <w:szCs w:val="22"/>
              </w:rPr>
            </w:pPr>
          </w:p>
        </w:tc>
      </w:tr>
      <w:tr w:rsidR="006D71B0" w:rsidRPr="006D71B0" w14:paraId="0660D8D5" w14:textId="77777777" w:rsidTr="006D71B0">
        <w:tc>
          <w:tcPr>
            <w:tcW w:w="5529" w:type="dxa"/>
          </w:tcPr>
          <w:p w14:paraId="7C2BA168" w14:textId="77777777" w:rsidR="006D71B0" w:rsidRPr="006D71B0" w:rsidRDefault="006D71B0" w:rsidP="006D71B0">
            <w:pPr>
              <w:numPr>
                <w:ilvl w:val="0"/>
                <w:numId w:val="6"/>
              </w:numPr>
              <w:jc w:val="both"/>
              <w:rPr>
                <w:szCs w:val="22"/>
              </w:rPr>
            </w:pPr>
            <w:r w:rsidRPr="006D71B0">
              <w:rPr>
                <w:szCs w:val="22"/>
              </w:rPr>
              <w:t xml:space="preserve">Risk management framework, including a work plan and tracking measures for change management.  </w:t>
            </w:r>
          </w:p>
        </w:tc>
        <w:tc>
          <w:tcPr>
            <w:tcW w:w="3106" w:type="dxa"/>
          </w:tcPr>
          <w:p w14:paraId="30DC16BB" w14:textId="77777777" w:rsidR="006D71B0" w:rsidRPr="006D71B0" w:rsidRDefault="006D71B0" w:rsidP="006D71B0">
            <w:pPr>
              <w:jc w:val="both"/>
              <w:rPr>
                <w:szCs w:val="22"/>
              </w:rPr>
            </w:pPr>
            <w:r w:rsidRPr="006D71B0">
              <w:rPr>
                <w:szCs w:val="22"/>
              </w:rPr>
              <w:t>TBD</w:t>
            </w:r>
          </w:p>
        </w:tc>
      </w:tr>
    </w:tbl>
    <w:tbl>
      <w:tblPr>
        <w:tblStyle w:val="TableGrid"/>
        <w:tblpPr w:leftFromText="180" w:rightFromText="180" w:vertAnchor="text" w:horzAnchor="margin" w:tblpY="872"/>
        <w:tblW w:w="8635" w:type="dxa"/>
        <w:tblLook w:val="04A0" w:firstRow="1" w:lastRow="0" w:firstColumn="1" w:lastColumn="0" w:noHBand="0" w:noVBand="1"/>
      </w:tblPr>
      <w:tblGrid>
        <w:gridCol w:w="5529"/>
        <w:gridCol w:w="3106"/>
      </w:tblGrid>
      <w:tr w:rsidR="002A0ED0" w:rsidRPr="006D71B0" w14:paraId="3CB1F979" w14:textId="77777777" w:rsidTr="002A0ED0">
        <w:tc>
          <w:tcPr>
            <w:tcW w:w="5529" w:type="dxa"/>
            <w:shd w:val="clear" w:color="auto" w:fill="C6D9F1" w:themeFill="text2" w:themeFillTint="33"/>
          </w:tcPr>
          <w:p w14:paraId="170830DD" w14:textId="77777777" w:rsidR="002A0ED0" w:rsidRPr="006D71B0" w:rsidRDefault="002A0ED0" w:rsidP="002A0ED0">
            <w:pPr>
              <w:jc w:val="both"/>
              <w:rPr>
                <w:i/>
                <w:szCs w:val="22"/>
              </w:rPr>
            </w:pPr>
            <w:r w:rsidRPr="006D71B0">
              <w:rPr>
                <w:i/>
                <w:szCs w:val="22"/>
              </w:rPr>
              <w:t>Oversight-Capacity Development Phase</w:t>
            </w:r>
          </w:p>
        </w:tc>
        <w:tc>
          <w:tcPr>
            <w:tcW w:w="3106" w:type="dxa"/>
            <w:shd w:val="clear" w:color="auto" w:fill="C6D9F1" w:themeFill="text2" w:themeFillTint="33"/>
          </w:tcPr>
          <w:p w14:paraId="30475C70" w14:textId="77777777" w:rsidR="002A0ED0" w:rsidRPr="006D71B0" w:rsidRDefault="002A0ED0" w:rsidP="002A0ED0">
            <w:pPr>
              <w:jc w:val="both"/>
              <w:rPr>
                <w:i/>
                <w:szCs w:val="22"/>
              </w:rPr>
            </w:pPr>
          </w:p>
        </w:tc>
      </w:tr>
      <w:tr w:rsidR="002A0ED0" w:rsidRPr="006D71B0" w14:paraId="4F81F342" w14:textId="77777777" w:rsidTr="002A0ED0">
        <w:tc>
          <w:tcPr>
            <w:tcW w:w="5529" w:type="dxa"/>
          </w:tcPr>
          <w:p w14:paraId="12BC670F" w14:textId="77777777" w:rsidR="002A0ED0" w:rsidRPr="006D71B0" w:rsidRDefault="002A0ED0" w:rsidP="002A0ED0">
            <w:pPr>
              <w:numPr>
                <w:ilvl w:val="0"/>
                <w:numId w:val="6"/>
              </w:numPr>
              <w:jc w:val="both"/>
              <w:rPr>
                <w:szCs w:val="22"/>
              </w:rPr>
            </w:pPr>
            <w:r w:rsidRPr="006D71B0">
              <w:rPr>
                <w:szCs w:val="22"/>
              </w:rPr>
              <w:t>Either quarterly or as per key timelines defined in the action plan, report on progress achieved against work plans</w:t>
            </w:r>
          </w:p>
        </w:tc>
        <w:tc>
          <w:tcPr>
            <w:tcW w:w="3106" w:type="dxa"/>
          </w:tcPr>
          <w:p w14:paraId="60CA6498" w14:textId="77777777" w:rsidR="002A0ED0" w:rsidRPr="006D71B0" w:rsidRDefault="002A0ED0" w:rsidP="002A0ED0">
            <w:pPr>
              <w:jc w:val="both"/>
              <w:rPr>
                <w:szCs w:val="22"/>
              </w:rPr>
            </w:pPr>
            <w:r w:rsidRPr="006D71B0">
              <w:rPr>
                <w:szCs w:val="22"/>
              </w:rPr>
              <w:t>TBD</w:t>
            </w:r>
          </w:p>
        </w:tc>
      </w:tr>
    </w:tbl>
    <w:p w14:paraId="30F630DA" w14:textId="2AE3E032" w:rsidR="008952E1" w:rsidRDefault="008952E1"/>
    <w:p w14:paraId="6402B3D5" w14:textId="77777777" w:rsidR="008952E1" w:rsidRPr="002A0ED0" w:rsidRDefault="008952E1" w:rsidP="002A0ED0">
      <w:pPr>
        <w:jc w:val="both"/>
        <w:rPr>
          <w:b/>
          <w:szCs w:val="22"/>
        </w:rPr>
      </w:pPr>
    </w:p>
    <w:p w14:paraId="6C3C7702" w14:textId="0F6B2B5E" w:rsidR="00AE6332" w:rsidRPr="00AE6332" w:rsidRDefault="006D71B0" w:rsidP="00AE6332">
      <w:pPr>
        <w:pStyle w:val="ListParagraph"/>
        <w:numPr>
          <w:ilvl w:val="0"/>
          <w:numId w:val="3"/>
        </w:numPr>
        <w:jc w:val="both"/>
        <w:rPr>
          <w:b/>
          <w:szCs w:val="22"/>
        </w:rPr>
      </w:pPr>
      <w:r>
        <w:rPr>
          <w:b/>
          <w:szCs w:val="22"/>
        </w:rPr>
        <w:t>Estimated Cost</w:t>
      </w:r>
    </w:p>
    <w:p w14:paraId="7A3DB0F8" w14:textId="77777777" w:rsidR="00654C6A" w:rsidRDefault="00654C6A" w:rsidP="00654C6A">
      <w:pPr>
        <w:pStyle w:val="ListParagraph"/>
        <w:ind w:left="780"/>
        <w:jc w:val="both"/>
        <w:rPr>
          <w:szCs w:val="22"/>
        </w:rPr>
      </w:pPr>
    </w:p>
    <w:p w14:paraId="6BE3D07E" w14:textId="77777777" w:rsidR="002A0ED0" w:rsidRDefault="002A0ED0" w:rsidP="00654C6A">
      <w:pPr>
        <w:pStyle w:val="ListParagraph"/>
        <w:ind w:left="780"/>
        <w:jc w:val="both"/>
        <w:rPr>
          <w:szCs w:val="22"/>
        </w:rPr>
      </w:pPr>
    </w:p>
    <w:tbl>
      <w:tblPr>
        <w:tblW w:w="8620" w:type="dxa"/>
        <w:tblLook w:val="04A0" w:firstRow="1" w:lastRow="0" w:firstColumn="1" w:lastColumn="0" w:noHBand="0" w:noVBand="1"/>
      </w:tblPr>
      <w:tblGrid>
        <w:gridCol w:w="1746"/>
        <w:gridCol w:w="4660"/>
        <w:gridCol w:w="1239"/>
        <w:gridCol w:w="975"/>
      </w:tblGrid>
      <w:tr w:rsidR="00DA2B22" w:rsidRPr="00AE6332" w14:paraId="045A2292" w14:textId="53829F75" w:rsidTr="00DA2B22">
        <w:trPr>
          <w:trHeight w:val="34"/>
        </w:trPr>
        <w:tc>
          <w:tcPr>
            <w:tcW w:w="6406" w:type="dxa"/>
            <w:gridSpan w:val="2"/>
            <w:tcBorders>
              <w:top w:val="single" w:sz="8" w:space="0" w:color="auto"/>
              <w:left w:val="single" w:sz="8" w:space="0" w:color="auto"/>
              <w:bottom w:val="single" w:sz="8" w:space="0" w:color="auto"/>
              <w:right w:val="single" w:sz="8" w:space="0" w:color="000000"/>
            </w:tcBorders>
            <w:shd w:val="clear" w:color="auto" w:fill="C6D9F1" w:themeFill="text2" w:themeFillTint="33"/>
            <w:noWrap/>
            <w:vAlign w:val="bottom"/>
            <w:hideMark/>
          </w:tcPr>
          <w:p w14:paraId="568E64B1" w14:textId="77777777" w:rsidR="00DA2B22" w:rsidRPr="00AE6332" w:rsidRDefault="00DA2B22" w:rsidP="00AE6332">
            <w:pPr>
              <w:jc w:val="center"/>
              <w:rPr>
                <w:rFonts w:ascii="Calibri" w:eastAsia="Times New Roman" w:hAnsi="Calibri" w:cs="Times New Roman"/>
                <w:b/>
                <w:bCs/>
                <w:color w:val="000000"/>
                <w:szCs w:val="22"/>
                <w:lang w:val="en-GB" w:eastAsia="en-GB"/>
              </w:rPr>
            </w:pPr>
            <w:r w:rsidRPr="00AE6332">
              <w:rPr>
                <w:rFonts w:ascii="Calibri" w:eastAsia="Times New Roman" w:hAnsi="Calibri" w:cs="Times New Roman"/>
                <w:b/>
                <w:bCs/>
                <w:color w:val="000000"/>
                <w:szCs w:val="22"/>
                <w:lang w:val="en-GB" w:eastAsia="en-GB"/>
              </w:rPr>
              <w:t>Risk Assessment</w:t>
            </w:r>
          </w:p>
        </w:tc>
        <w:tc>
          <w:tcPr>
            <w:tcW w:w="1239" w:type="dxa"/>
            <w:tcBorders>
              <w:top w:val="single" w:sz="8" w:space="0" w:color="auto"/>
              <w:left w:val="nil"/>
              <w:bottom w:val="nil"/>
              <w:right w:val="single" w:sz="8" w:space="0" w:color="auto"/>
            </w:tcBorders>
            <w:shd w:val="clear" w:color="auto" w:fill="C6D9F1" w:themeFill="text2" w:themeFillTint="33"/>
            <w:noWrap/>
            <w:vAlign w:val="bottom"/>
            <w:hideMark/>
          </w:tcPr>
          <w:p w14:paraId="1F6E879C" w14:textId="77777777" w:rsidR="00DA2B22" w:rsidRDefault="00DA2B22" w:rsidP="00AE6332">
            <w:pPr>
              <w:jc w:val="center"/>
              <w:rPr>
                <w:rFonts w:ascii="Calibri" w:eastAsia="Times New Roman" w:hAnsi="Calibri" w:cs="Times New Roman"/>
                <w:b/>
                <w:bCs/>
                <w:color w:val="000000"/>
                <w:szCs w:val="22"/>
                <w:lang w:val="en-GB" w:eastAsia="en-GB"/>
              </w:rPr>
            </w:pPr>
            <w:r w:rsidRPr="00AE6332">
              <w:rPr>
                <w:rFonts w:ascii="Calibri" w:eastAsia="Times New Roman" w:hAnsi="Calibri" w:cs="Times New Roman"/>
                <w:b/>
                <w:bCs/>
                <w:color w:val="000000"/>
                <w:szCs w:val="22"/>
                <w:lang w:val="en-GB" w:eastAsia="en-GB"/>
              </w:rPr>
              <w:t>Cost</w:t>
            </w:r>
          </w:p>
          <w:p w14:paraId="2FB9C227" w14:textId="6E553240" w:rsidR="00DA2B22" w:rsidRPr="00AE6332" w:rsidRDefault="00DA2B22" w:rsidP="00AE6332">
            <w:pPr>
              <w:jc w:val="center"/>
              <w:rPr>
                <w:rFonts w:ascii="Calibri" w:eastAsia="Times New Roman" w:hAnsi="Calibri" w:cs="Times New Roman"/>
                <w:b/>
                <w:bCs/>
                <w:color w:val="000000"/>
                <w:szCs w:val="22"/>
                <w:lang w:val="en-GB" w:eastAsia="en-GB"/>
              </w:rPr>
            </w:pPr>
            <w:r w:rsidRPr="00626541">
              <w:rPr>
                <w:rFonts w:ascii="Calibri" w:eastAsia="Times New Roman" w:hAnsi="Calibri" w:cs="Times New Roman"/>
                <w:b/>
                <w:bCs/>
                <w:color w:val="000000"/>
                <w:szCs w:val="22"/>
                <w:highlight w:val="yellow"/>
                <w:lang w:val="en-GB" w:eastAsia="en-GB"/>
              </w:rPr>
              <w:t>US$</w:t>
            </w:r>
          </w:p>
        </w:tc>
        <w:tc>
          <w:tcPr>
            <w:tcW w:w="975" w:type="dxa"/>
            <w:tcBorders>
              <w:top w:val="single" w:sz="8" w:space="0" w:color="auto"/>
              <w:left w:val="nil"/>
              <w:bottom w:val="nil"/>
              <w:right w:val="single" w:sz="8" w:space="0" w:color="auto"/>
            </w:tcBorders>
            <w:shd w:val="clear" w:color="auto" w:fill="C6D9F1" w:themeFill="text2" w:themeFillTint="33"/>
          </w:tcPr>
          <w:p w14:paraId="327C31B7" w14:textId="77777777" w:rsidR="00DA2B22" w:rsidRDefault="00DA2B22" w:rsidP="00AE6332">
            <w:pPr>
              <w:jc w:val="center"/>
              <w:rPr>
                <w:rFonts w:ascii="Calibri" w:eastAsia="Times New Roman" w:hAnsi="Calibri" w:cs="Times New Roman"/>
                <w:b/>
                <w:bCs/>
                <w:color w:val="000000"/>
                <w:szCs w:val="22"/>
                <w:lang w:val="en-GB" w:eastAsia="en-GB"/>
              </w:rPr>
            </w:pPr>
            <w:r>
              <w:rPr>
                <w:rFonts w:ascii="Calibri" w:eastAsia="Times New Roman" w:hAnsi="Calibri" w:cs="Times New Roman"/>
                <w:b/>
                <w:bCs/>
                <w:color w:val="000000"/>
                <w:szCs w:val="22"/>
                <w:lang w:val="en-GB" w:eastAsia="en-GB"/>
              </w:rPr>
              <w:t xml:space="preserve">Cost </w:t>
            </w:r>
          </w:p>
          <w:p w14:paraId="552C3B2F" w14:textId="51B1F1CB" w:rsidR="00DA2B22" w:rsidRPr="00AE6332" w:rsidRDefault="00DA2B22" w:rsidP="00AE6332">
            <w:pPr>
              <w:jc w:val="center"/>
              <w:rPr>
                <w:rFonts w:ascii="Calibri" w:eastAsia="Times New Roman" w:hAnsi="Calibri" w:cs="Times New Roman"/>
                <w:b/>
                <w:bCs/>
                <w:color w:val="000000"/>
                <w:szCs w:val="22"/>
                <w:lang w:val="en-GB" w:eastAsia="en-GB"/>
              </w:rPr>
            </w:pPr>
            <w:r>
              <w:rPr>
                <w:rFonts w:ascii="Calibri" w:eastAsia="Times New Roman" w:hAnsi="Calibri" w:cs="Times New Roman"/>
                <w:b/>
                <w:bCs/>
                <w:color w:val="000000"/>
                <w:szCs w:val="22"/>
                <w:lang w:val="en-GB" w:eastAsia="en-GB"/>
              </w:rPr>
              <w:t>Euro</w:t>
            </w:r>
          </w:p>
        </w:tc>
      </w:tr>
      <w:tr w:rsidR="00DA2B22" w:rsidRPr="00AE6332" w14:paraId="63BD09FC" w14:textId="1CE75CFB" w:rsidTr="00DA2B22">
        <w:trPr>
          <w:trHeight w:val="32"/>
        </w:trPr>
        <w:tc>
          <w:tcPr>
            <w:tcW w:w="1746" w:type="dxa"/>
            <w:vMerge w:val="restart"/>
            <w:tcBorders>
              <w:top w:val="nil"/>
              <w:left w:val="single" w:sz="8" w:space="0" w:color="auto"/>
              <w:bottom w:val="single" w:sz="8" w:space="0" w:color="000000"/>
              <w:right w:val="single" w:sz="8" w:space="0" w:color="auto"/>
            </w:tcBorders>
            <w:shd w:val="clear" w:color="auto" w:fill="auto"/>
            <w:vAlign w:val="center"/>
            <w:hideMark/>
          </w:tcPr>
          <w:p w14:paraId="10ECEAB2" w14:textId="618BF7E5" w:rsidR="00DA2B22" w:rsidRPr="00AE6332" w:rsidRDefault="00DA2B22" w:rsidP="00AE6332">
            <w:pPr>
              <w:jc w:val="center"/>
              <w:rPr>
                <w:rFonts w:ascii="Calibri" w:eastAsia="Times New Roman" w:hAnsi="Calibri" w:cs="Times New Roman"/>
                <w:b/>
                <w:bCs/>
                <w:color w:val="000000"/>
                <w:szCs w:val="22"/>
                <w:lang w:val="en-GB" w:eastAsia="en-GB"/>
              </w:rPr>
            </w:pPr>
            <w:r w:rsidRPr="00AE6332">
              <w:rPr>
                <w:rFonts w:ascii="Calibri" w:eastAsia="Times New Roman" w:hAnsi="Calibri" w:cs="Times New Roman"/>
                <w:b/>
                <w:bCs/>
                <w:color w:val="000000"/>
                <w:szCs w:val="22"/>
                <w:lang w:val="en-GB" w:eastAsia="en-GB"/>
              </w:rPr>
              <w:t>Phase A</w:t>
            </w:r>
          </w:p>
        </w:tc>
        <w:tc>
          <w:tcPr>
            <w:tcW w:w="4660" w:type="dxa"/>
            <w:tcBorders>
              <w:top w:val="nil"/>
              <w:left w:val="nil"/>
              <w:bottom w:val="single" w:sz="4" w:space="0" w:color="auto"/>
              <w:right w:val="single" w:sz="8" w:space="0" w:color="auto"/>
            </w:tcBorders>
            <w:shd w:val="clear" w:color="auto" w:fill="auto"/>
            <w:noWrap/>
            <w:vAlign w:val="bottom"/>
            <w:hideMark/>
          </w:tcPr>
          <w:p w14:paraId="6BF47638" w14:textId="77777777" w:rsidR="00DA2B22" w:rsidRPr="00AE6332" w:rsidRDefault="00DA2B22" w:rsidP="00AE6332">
            <w:pPr>
              <w:rPr>
                <w:rFonts w:ascii="Calibri" w:eastAsia="Times New Roman" w:hAnsi="Calibri" w:cs="Times New Roman"/>
                <w:color w:val="000000"/>
                <w:szCs w:val="22"/>
                <w:lang w:val="en-GB" w:eastAsia="en-GB"/>
              </w:rPr>
            </w:pPr>
            <w:r w:rsidRPr="00AE6332">
              <w:rPr>
                <w:rFonts w:ascii="Calibri" w:eastAsia="Times New Roman" w:hAnsi="Calibri" w:cs="Times New Roman"/>
                <w:color w:val="000000"/>
                <w:szCs w:val="22"/>
                <w:lang w:val="en-GB" w:eastAsia="en-GB"/>
              </w:rPr>
              <w:t>HIV/AIDS</w:t>
            </w:r>
          </w:p>
        </w:tc>
        <w:tc>
          <w:tcPr>
            <w:tcW w:w="1239" w:type="dxa"/>
            <w:tcBorders>
              <w:top w:val="single" w:sz="4" w:space="0" w:color="auto"/>
              <w:left w:val="nil"/>
              <w:bottom w:val="single" w:sz="4" w:space="0" w:color="auto"/>
              <w:right w:val="single" w:sz="8" w:space="0" w:color="auto"/>
            </w:tcBorders>
            <w:shd w:val="clear" w:color="auto" w:fill="auto"/>
            <w:noWrap/>
            <w:vAlign w:val="bottom"/>
            <w:hideMark/>
          </w:tcPr>
          <w:p w14:paraId="1C682E18" w14:textId="222689E8" w:rsidR="00DA2B22" w:rsidRPr="00AE6332" w:rsidRDefault="00DA2B22" w:rsidP="00AE6332">
            <w:pPr>
              <w:rPr>
                <w:rFonts w:ascii="Calibri" w:eastAsia="Times New Roman" w:hAnsi="Calibri" w:cs="Times New Roman"/>
                <w:color w:val="000000"/>
                <w:szCs w:val="22"/>
                <w:lang w:val="en-GB" w:eastAsia="en-GB"/>
              </w:rPr>
            </w:pPr>
            <w:r w:rsidRPr="00AE6332">
              <w:rPr>
                <w:rFonts w:ascii="Calibri" w:eastAsia="Times New Roman" w:hAnsi="Calibri" w:cs="Times New Roman"/>
                <w:color w:val="000000"/>
                <w:szCs w:val="22"/>
                <w:lang w:val="en-GB" w:eastAsia="en-GB"/>
              </w:rPr>
              <w:t>20,000</w:t>
            </w:r>
          </w:p>
        </w:tc>
        <w:tc>
          <w:tcPr>
            <w:tcW w:w="975" w:type="dxa"/>
            <w:tcBorders>
              <w:top w:val="single" w:sz="4" w:space="0" w:color="auto"/>
              <w:left w:val="nil"/>
              <w:bottom w:val="single" w:sz="4" w:space="0" w:color="auto"/>
              <w:right w:val="single" w:sz="8" w:space="0" w:color="auto"/>
            </w:tcBorders>
          </w:tcPr>
          <w:p w14:paraId="72E6DA07" w14:textId="3A7D01FD" w:rsidR="00DA2B22" w:rsidRPr="00AE6332" w:rsidRDefault="00DA2B22" w:rsidP="00AE6332">
            <w:pPr>
              <w:rPr>
                <w:rFonts w:ascii="Calibri" w:eastAsia="Times New Roman" w:hAnsi="Calibri" w:cs="Times New Roman"/>
                <w:color w:val="000000"/>
                <w:szCs w:val="22"/>
                <w:lang w:val="en-GB" w:eastAsia="en-GB"/>
              </w:rPr>
            </w:pPr>
            <w:r>
              <w:rPr>
                <w:rFonts w:ascii="Calibri" w:eastAsia="Times New Roman" w:hAnsi="Calibri" w:cs="Times New Roman"/>
                <w:color w:val="000000"/>
                <w:szCs w:val="22"/>
                <w:lang w:val="en-GB" w:eastAsia="en-GB"/>
              </w:rPr>
              <w:t>17,974</w:t>
            </w:r>
          </w:p>
        </w:tc>
      </w:tr>
      <w:tr w:rsidR="00DA2B22" w:rsidRPr="00AE6332" w14:paraId="5A1CB5E4" w14:textId="1D473E60" w:rsidTr="00DA2B22">
        <w:trPr>
          <w:trHeight w:val="32"/>
        </w:trPr>
        <w:tc>
          <w:tcPr>
            <w:tcW w:w="1746" w:type="dxa"/>
            <w:vMerge/>
            <w:tcBorders>
              <w:top w:val="nil"/>
              <w:left w:val="single" w:sz="8" w:space="0" w:color="auto"/>
              <w:bottom w:val="single" w:sz="8" w:space="0" w:color="000000"/>
              <w:right w:val="single" w:sz="8" w:space="0" w:color="auto"/>
            </w:tcBorders>
            <w:vAlign w:val="center"/>
            <w:hideMark/>
          </w:tcPr>
          <w:p w14:paraId="6634FC62" w14:textId="77777777" w:rsidR="00DA2B22" w:rsidRPr="00AE6332" w:rsidRDefault="00DA2B22" w:rsidP="00AE6332">
            <w:pPr>
              <w:rPr>
                <w:rFonts w:ascii="Calibri" w:eastAsia="Times New Roman" w:hAnsi="Calibri" w:cs="Times New Roman"/>
                <w:b/>
                <w:bCs/>
                <w:color w:val="000000"/>
                <w:szCs w:val="22"/>
                <w:lang w:val="en-GB" w:eastAsia="en-GB"/>
              </w:rPr>
            </w:pPr>
          </w:p>
        </w:tc>
        <w:tc>
          <w:tcPr>
            <w:tcW w:w="4660" w:type="dxa"/>
            <w:tcBorders>
              <w:top w:val="nil"/>
              <w:left w:val="nil"/>
              <w:bottom w:val="single" w:sz="4" w:space="0" w:color="auto"/>
              <w:right w:val="single" w:sz="8" w:space="0" w:color="auto"/>
            </w:tcBorders>
            <w:shd w:val="clear" w:color="auto" w:fill="auto"/>
            <w:noWrap/>
            <w:vAlign w:val="bottom"/>
            <w:hideMark/>
          </w:tcPr>
          <w:p w14:paraId="19C334C3" w14:textId="77777777" w:rsidR="00DA2B22" w:rsidRPr="00AE6332" w:rsidRDefault="00DA2B22" w:rsidP="00AE6332">
            <w:pPr>
              <w:rPr>
                <w:rFonts w:ascii="Calibri" w:eastAsia="Times New Roman" w:hAnsi="Calibri" w:cs="Times New Roman"/>
                <w:color w:val="000000"/>
                <w:szCs w:val="22"/>
                <w:lang w:val="en-GB" w:eastAsia="en-GB"/>
              </w:rPr>
            </w:pPr>
            <w:r w:rsidRPr="00AE6332">
              <w:rPr>
                <w:rFonts w:ascii="Calibri" w:eastAsia="Times New Roman" w:hAnsi="Calibri" w:cs="Times New Roman"/>
                <w:color w:val="000000"/>
                <w:szCs w:val="22"/>
                <w:lang w:val="en-GB" w:eastAsia="en-GB"/>
              </w:rPr>
              <w:t>TB</w:t>
            </w:r>
          </w:p>
        </w:tc>
        <w:tc>
          <w:tcPr>
            <w:tcW w:w="1239" w:type="dxa"/>
            <w:tcBorders>
              <w:top w:val="nil"/>
              <w:left w:val="nil"/>
              <w:bottom w:val="single" w:sz="4" w:space="0" w:color="auto"/>
              <w:right w:val="single" w:sz="8" w:space="0" w:color="auto"/>
            </w:tcBorders>
            <w:shd w:val="clear" w:color="auto" w:fill="auto"/>
            <w:noWrap/>
            <w:vAlign w:val="bottom"/>
            <w:hideMark/>
          </w:tcPr>
          <w:p w14:paraId="70CBEBA9" w14:textId="3B854AEB" w:rsidR="00DA2B22" w:rsidRPr="00AE6332" w:rsidRDefault="00DA2B22" w:rsidP="00AE6332">
            <w:pPr>
              <w:rPr>
                <w:rFonts w:ascii="Calibri" w:eastAsia="Times New Roman" w:hAnsi="Calibri" w:cs="Times New Roman"/>
                <w:color w:val="000000"/>
                <w:szCs w:val="22"/>
                <w:lang w:val="en-GB" w:eastAsia="en-GB"/>
              </w:rPr>
            </w:pPr>
            <w:r w:rsidRPr="00AE6332">
              <w:rPr>
                <w:rFonts w:ascii="Calibri" w:eastAsia="Times New Roman" w:hAnsi="Calibri" w:cs="Times New Roman"/>
                <w:color w:val="000000"/>
                <w:szCs w:val="22"/>
                <w:lang w:val="en-GB" w:eastAsia="en-GB"/>
              </w:rPr>
              <w:t>20,000</w:t>
            </w:r>
          </w:p>
        </w:tc>
        <w:tc>
          <w:tcPr>
            <w:tcW w:w="975" w:type="dxa"/>
            <w:tcBorders>
              <w:top w:val="nil"/>
              <w:left w:val="nil"/>
              <w:bottom w:val="single" w:sz="4" w:space="0" w:color="auto"/>
              <w:right w:val="single" w:sz="8" w:space="0" w:color="auto"/>
            </w:tcBorders>
          </w:tcPr>
          <w:p w14:paraId="513097DB" w14:textId="68C22997" w:rsidR="00DA2B22" w:rsidRPr="00AE6332" w:rsidRDefault="00DA2B22" w:rsidP="00AE6332">
            <w:pPr>
              <w:rPr>
                <w:rFonts w:ascii="Calibri" w:eastAsia="Times New Roman" w:hAnsi="Calibri" w:cs="Times New Roman"/>
                <w:color w:val="000000"/>
                <w:szCs w:val="22"/>
                <w:lang w:val="en-GB" w:eastAsia="en-GB"/>
              </w:rPr>
            </w:pPr>
            <w:r>
              <w:rPr>
                <w:rFonts w:ascii="Calibri" w:eastAsia="Times New Roman" w:hAnsi="Calibri" w:cs="Times New Roman"/>
                <w:color w:val="000000"/>
                <w:szCs w:val="22"/>
                <w:lang w:val="en-GB" w:eastAsia="en-GB"/>
              </w:rPr>
              <w:t>17,974</w:t>
            </w:r>
          </w:p>
        </w:tc>
      </w:tr>
      <w:tr w:rsidR="00DA2B22" w:rsidRPr="00AE6332" w14:paraId="5C2F011F" w14:textId="503E8220" w:rsidTr="00DA2B22">
        <w:trPr>
          <w:trHeight w:val="34"/>
        </w:trPr>
        <w:tc>
          <w:tcPr>
            <w:tcW w:w="1746" w:type="dxa"/>
            <w:vMerge/>
            <w:tcBorders>
              <w:top w:val="nil"/>
              <w:left w:val="single" w:sz="8" w:space="0" w:color="auto"/>
              <w:bottom w:val="single" w:sz="8" w:space="0" w:color="000000"/>
              <w:right w:val="single" w:sz="8" w:space="0" w:color="auto"/>
            </w:tcBorders>
            <w:vAlign w:val="center"/>
            <w:hideMark/>
          </w:tcPr>
          <w:p w14:paraId="1A7AE3A4" w14:textId="77777777" w:rsidR="00DA2B22" w:rsidRPr="00AE6332" w:rsidRDefault="00DA2B22" w:rsidP="00AE6332">
            <w:pPr>
              <w:rPr>
                <w:rFonts w:ascii="Calibri" w:eastAsia="Times New Roman" w:hAnsi="Calibri" w:cs="Times New Roman"/>
                <w:b/>
                <w:bCs/>
                <w:color w:val="000000"/>
                <w:szCs w:val="22"/>
                <w:lang w:val="en-GB" w:eastAsia="en-GB"/>
              </w:rPr>
            </w:pPr>
          </w:p>
        </w:tc>
        <w:tc>
          <w:tcPr>
            <w:tcW w:w="4660" w:type="dxa"/>
            <w:tcBorders>
              <w:top w:val="nil"/>
              <w:left w:val="nil"/>
              <w:bottom w:val="single" w:sz="4" w:space="0" w:color="auto"/>
              <w:right w:val="single" w:sz="8" w:space="0" w:color="auto"/>
            </w:tcBorders>
            <w:shd w:val="clear" w:color="auto" w:fill="auto"/>
            <w:noWrap/>
            <w:vAlign w:val="bottom"/>
            <w:hideMark/>
          </w:tcPr>
          <w:p w14:paraId="777BCF0F" w14:textId="77777777" w:rsidR="00DA2B22" w:rsidRPr="00AE6332" w:rsidRDefault="00DA2B22" w:rsidP="00AE6332">
            <w:pPr>
              <w:rPr>
                <w:rFonts w:ascii="Calibri" w:eastAsia="Times New Roman" w:hAnsi="Calibri" w:cs="Times New Roman"/>
                <w:color w:val="000000"/>
                <w:szCs w:val="22"/>
                <w:lang w:val="en-GB" w:eastAsia="en-GB"/>
              </w:rPr>
            </w:pPr>
            <w:r w:rsidRPr="00AE6332">
              <w:rPr>
                <w:rFonts w:ascii="Calibri" w:eastAsia="Times New Roman" w:hAnsi="Calibri" w:cs="Times New Roman"/>
                <w:color w:val="000000"/>
                <w:szCs w:val="22"/>
                <w:lang w:val="en-GB" w:eastAsia="en-GB"/>
              </w:rPr>
              <w:t>Malaria</w:t>
            </w:r>
          </w:p>
        </w:tc>
        <w:tc>
          <w:tcPr>
            <w:tcW w:w="1239" w:type="dxa"/>
            <w:tcBorders>
              <w:top w:val="nil"/>
              <w:left w:val="nil"/>
              <w:bottom w:val="single" w:sz="4" w:space="0" w:color="auto"/>
              <w:right w:val="single" w:sz="8" w:space="0" w:color="auto"/>
            </w:tcBorders>
            <w:shd w:val="clear" w:color="auto" w:fill="auto"/>
            <w:noWrap/>
            <w:vAlign w:val="bottom"/>
            <w:hideMark/>
          </w:tcPr>
          <w:p w14:paraId="63C37366" w14:textId="0397F7B6" w:rsidR="00DA2B22" w:rsidRPr="00AE6332" w:rsidRDefault="00DA2B22" w:rsidP="00AE6332">
            <w:pPr>
              <w:rPr>
                <w:rFonts w:ascii="Calibri" w:eastAsia="Times New Roman" w:hAnsi="Calibri" w:cs="Times New Roman"/>
                <w:color w:val="000000"/>
                <w:szCs w:val="22"/>
                <w:lang w:val="en-GB" w:eastAsia="en-GB"/>
              </w:rPr>
            </w:pPr>
            <w:r w:rsidRPr="00AE6332">
              <w:rPr>
                <w:rFonts w:ascii="Calibri" w:eastAsia="Times New Roman" w:hAnsi="Calibri" w:cs="Times New Roman"/>
                <w:color w:val="000000"/>
                <w:szCs w:val="22"/>
                <w:lang w:val="en-GB" w:eastAsia="en-GB"/>
              </w:rPr>
              <w:t>20,000</w:t>
            </w:r>
          </w:p>
        </w:tc>
        <w:tc>
          <w:tcPr>
            <w:tcW w:w="975" w:type="dxa"/>
            <w:tcBorders>
              <w:top w:val="nil"/>
              <w:left w:val="nil"/>
              <w:bottom w:val="single" w:sz="4" w:space="0" w:color="auto"/>
              <w:right w:val="single" w:sz="8" w:space="0" w:color="auto"/>
            </w:tcBorders>
          </w:tcPr>
          <w:p w14:paraId="0912F01A" w14:textId="7BC26828" w:rsidR="00DA2B22" w:rsidRPr="00AE6332" w:rsidRDefault="00DA2B22" w:rsidP="00AE6332">
            <w:pPr>
              <w:rPr>
                <w:rFonts w:ascii="Calibri" w:eastAsia="Times New Roman" w:hAnsi="Calibri" w:cs="Times New Roman"/>
                <w:color w:val="000000"/>
                <w:szCs w:val="22"/>
                <w:lang w:val="en-GB" w:eastAsia="en-GB"/>
              </w:rPr>
            </w:pPr>
            <w:r>
              <w:rPr>
                <w:rFonts w:ascii="Calibri" w:eastAsia="Times New Roman" w:hAnsi="Calibri" w:cs="Times New Roman"/>
                <w:color w:val="000000"/>
                <w:szCs w:val="22"/>
                <w:lang w:val="en-GB" w:eastAsia="en-GB"/>
              </w:rPr>
              <w:t>17,974</w:t>
            </w:r>
          </w:p>
        </w:tc>
      </w:tr>
      <w:tr w:rsidR="00DA2B22" w:rsidRPr="00AE6332" w14:paraId="70A1320A" w14:textId="3691CD31" w:rsidTr="00DA2B22">
        <w:trPr>
          <w:trHeight w:val="34"/>
        </w:trPr>
        <w:tc>
          <w:tcPr>
            <w:tcW w:w="1746" w:type="dxa"/>
            <w:tcBorders>
              <w:top w:val="nil"/>
              <w:left w:val="single" w:sz="8" w:space="0" w:color="auto"/>
              <w:bottom w:val="single" w:sz="4" w:space="0" w:color="auto"/>
              <w:right w:val="single" w:sz="8" w:space="0" w:color="auto"/>
            </w:tcBorders>
            <w:shd w:val="clear" w:color="auto" w:fill="auto"/>
            <w:noWrap/>
            <w:vAlign w:val="bottom"/>
            <w:hideMark/>
          </w:tcPr>
          <w:p w14:paraId="124ADFC6" w14:textId="77777777" w:rsidR="00DA2B22" w:rsidRPr="00AE6332" w:rsidRDefault="00DA2B22" w:rsidP="00AE6332">
            <w:pPr>
              <w:jc w:val="center"/>
              <w:rPr>
                <w:rFonts w:ascii="Calibri" w:eastAsia="Times New Roman" w:hAnsi="Calibri" w:cs="Times New Roman"/>
                <w:b/>
                <w:color w:val="000000"/>
                <w:szCs w:val="22"/>
                <w:lang w:val="en-GB" w:eastAsia="en-GB"/>
              </w:rPr>
            </w:pPr>
            <w:r w:rsidRPr="00AE6332">
              <w:rPr>
                <w:rFonts w:ascii="Calibri" w:eastAsia="Times New Roman" w:hAnsi="Calibri" w:cs="Times New Roman"/>
                <w:b/>
                <w:color w:val="000000"/>
                <w:szCs w:val="22"/>
                <w:lang w:val="en-GB" w:eastAsia="en-GB"/>
              </w:rPr>
              <w:t>Phase B</w:t>
            </w:r>
          </w:p>
        </w:tc>
        <w:tc>
          <w:tcPr>
            <w:tcW w:w="4660" w:type="dxa"/>
            <w:tcBorders>
              <w:top w:val="nil"/>
              <w:left w:val="nil"/>
              <w:bottom w:val="single" w:sz="4" w:space="0" w:color="auto"/>
              <w:right w:val="single" w:sz="8" w:space="0" w:color="auto"/>
            </w:tcBorders>
            <w:shd w:val="clear" w:color="auto" w:fill="auto"/>
            <w:noWrap/>
            <w:vAlign w:val="bottom"/>
            <w:hideMark/>
          </w:tcPr>
          <w:p w14:paraId="5D777CC7" w14:textId="77777777" w:rsidR="00DA2B22" w:rsidRPr="00AE6332" w:rsidRDefault="00DA2B22" w:rsidP="00AE6332">
            <w:pPr>
              <w:rPr>
                <w:rFonts w:ascii="Calibri" w:eastAsia="Times New Roman" w:hAnsi="Calibri" w:cs="Times New Roman"/>
                <w:color w:val="000000"/>
                <w:szCs w:val="22"/>
                <w:lang w:val="en-GB" w:eastAsia="en-GB"/>
              </w:rPr>
            </w:pPr>
            <w:r w:rsidRPr="00AE6332">
              <w:rPr>
                <w:rFonts w:ascii="Calibri" w:eastAsia="Times New Roman" w:hAnsi="Calibri" w:cs="Times New Roman"/>
                <w:color w:val="000000"/>
                <w:szCs w:val="22"/>
                <w:lang w:val="en-GB" w:eastAsia="en-GB"/>
              </w:rPr>
              <w:t>Monitoring and oversight</w:t>
            </w:r>
          </w:p>
        </w:tc>
        <w:tc>
          <w:tcPr>
            <w:tcW w:w="1239" w:type="dxa"/>
            <w:tcBorders>
              <w:top w:val="nil"/>
              <w:left w:val="nil"/>
              <w:bottom w:val="single" w:sz="4" w:space="0" w:color="auto"/>
              <w:right w:val="single" w:sz="8" w:space="0" w:color="auto"/>
            </w:tcBorders>
            <w:shd w:val="clear" w:color="auto" w:fill="auto"/>
            <w:noWrap/>
            <w:vAlign w:val="bottom"/>
            <w:hideMark/>
          </w:tcPr>
          <w:p w14:paraId="4BFAD3EE" w14:textId="7806A887" w:rsidR="00DA2B22" w:rsidRPr="00AE6332" w:rsidRDefault="00DA2B22" w:rsidP="00AE6332">
            <w:pPr>
              <w:rPr>
                <w:rFonts w:ascii="Calibri" w:eastAsia="Times New Roman" w:hAnsi="Calibri" w:cs="Times New Roman"/>
                <w:color w:val="000000"/>
                <w:szCs w:val="22"/>
                <w:lang w:val="en-GB" w:eastAsia="en-GB"/>
              </w:rPr>
            </w:pPr>
            <w:r w:rsidRPr="00AE6332">
              <w:rPr>
                <w:rFonts w:ascii="Calibri" w:eastAsia="Times New Roman" w:hAnsi="Calibri" w:cs="Times New Roman"/>
                <w:color w:val="000000"/>
                <w:szCs w:val="22"/>
                <w:lang w:val="en-GB" w:eastAsia="en-GB"/>
              </w:rPr>
              <w:t>20,000</w:t>
            </w:r>
          </w:p>
        </w:tc>
        <w:tc>
          <w:tcPr>
            <w:tcW w:w="975" w:type="dxa"/>
            <w:tcBorders>
              <w:top w:val="nil"/>
              <w:left w:val="nil"/>
              <w:bottom w:val="single" w:sz="4" w:space="0" w:color="auto"/>
              <w:right w:val="single" w:sz="8" w:space="0" w:color="auto"/>
            </w:tcBorders>
          </w:tcPr>
          <w:p w14:paraId="1279B00A" w14:textId="0EFAD75B" w:rsidR="00DA2B22" w:rsidRPr="00AE6332" w:rsidRDefault="00DA2B22" w:rsidP="00AE6332">
            <w:pPr>
              <w:rPr>
                <w:rFonts w:ascii="Calibri" w:eastAsia="Times New Roman" w:hAnsi="Calibri" w:cs="Times New Roman"/>
                <w:color w:val="000000"/>
                <w:szCs w:val="22"/>
                <w:lang w:val="en-GB" w:eastAsia="en-GB"/>
              </w:rPr>
            </w:pPr>
            <w:r>
              <w:rPr>
                <w:rFonts w:ascii="Calibri" w:eastAsia="Times New Roman" w:hAnsi="Calibri" w:cs="Times New Roman"/>
                <w:color w:val="000000"/>
                <w:szCs w:val="22"/>
                <w:lang w:val="en-GB" w:eastAsia="en-GB"/>
              </w:rPr>
              <w:t>17,974</w:t>
            </w:r>
          </w:p>
        </w:tc>
      </w:tr>
      <w:tr w:rsidR="00DA2B22" w:rsidRPr="00DA2B22" w14:paraId="390038D4" w14:textId="77777777" w:rsidTr="006317EC">
        <w:trPr>
          <w:trHeight w:val="34"/>
        </w:trPr>
        <w:tc>
          <w:tcPr>
            <w:tcW w:w="1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45C2A" w14:textId="77777777" w:rsidR="00DA2B22" w:rsidRPr="00AE6332" w:rsidRDefault="00DA2B22" w:rsidP="00DA2B22">
            <w:pPr>
              <w:jc w:val="center"/>
              <w:rPr>
                <w:rFonts w:ascii="Calibri" w:eastAsia="Times New Roman" w:hAnsi="Calibri" w:cs="Times New Roman"/>
                <w:b/>
                <w:color w:val="000000"/>
                <w:szCs w:val="22"/>
                <w:lang w:val="en-GB" w:eastAsia="en-GB"/>
              </w:rPr>
            </w:pPr>
          </w:p>
        </w:tc>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067A9" w14:textId="06A694D1" w:rsidR="00DA2B22" w:rsidRPr="00DA2B22" w:rsidRDefault="00DA2B22" w:rsidP="00DA2B22">
            <w:pPr>
              <w:rPr>
                <w:rFonts w:ascii="Calibri" w:eastAsia="Times New Roman" w:hAnsi="Calibri" w:cs="Times New Roman"/>
                <w:b/>
                <w:color w:val="000000"/>
                <w:szCs w:val="22"/>
                <w:lang w:val="en-GB" w:eastAsia="en-GB"/>
              </w:rPr>
            </w:pPr>
            <w:r w:rsidRPr="00DA2B22">
              <w:rPr>
                <w:rFonts w:ascii="Calibri" w:eastAsia="Times New Roman" w:hAnsi="Calibri" w:cs="Times New Roman"/>
                <w:b/>
                <w:color w:val="000000"/>
                <w:szCs w:val="22"/>
                <w:lang w:val="en-GB" w:eastAsia="en-GB"/>
              </w:rPr>
              <w:t>TOTAL</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5A546" w14:textId="12F5AEA9" w:rsidR="00DA2B22" w:rsidRPr="00AE6332" w:rsidRDefault="00DA2B22" w:rsidP="00DA2B22">
            <w:pPr>
              <w:rPr>
                <w:rFonts w:ascii="Calibri" w:eastAsia="Times New Roman" w:hAnsi="Calibri" w:cs="Times New Roman"/>
                <w:color w:val="000000"/>
                <w:szCs w:val="22"/>
                <w:lang w:val="en-GB" w:eastAsia="en-GB"/>
              </w:rPr>
            </w:pPr>
            <w:r w:rsidRPr="00AE6332">
              <w:rPr>
                <w:rFonts w:ascii="Calibri" w:eastAsia="Times New Roman" w:hAnsi="Calibri" w:cs="Times New Roman"/>
                <w:b/>
                <w:bCs/>
                <w:color w:val="000000"/>
                <w:szCs w:val="22"/>
                <w:lang w:val="en-GB" w:eastAsia="en-GB"/>
              </w:rPr>
              <w:t>80,000</w:t>
            </w:r>
          </w:p>
        </w:tc>
        <w:tc>
          <w:tcPr>
            <w:tcW w:w="975" w:type="dxa"/>
            <w:tcBorders>
              <w:top w:val="single" w:sz="4" w:space="0" w:color="auto"/>
              <w:left w:val="single" w:sz="4" w:space="0" w:color="auto"/>
              <w:bottom w:val="single" w:sz="4" w:space="0" w:color="auto"/>
              <w:right w:val="single" w:sz="4" w:space="0" w:color="auto"/>
            </w:tcBorders>
            <w:vAlign w:val="bottom"/>
          </w:tcPr>
          <w:p w14:paraId="1362310B" w14:textId="763A5658" w:rsidR="00DA2B22" w:rsidRPr="00DA2B22" w:rsidRDefault="00DA2B22" w:rsidP="00DA2B22">
            <w:pPr>
              <w:rPr>
                <w:rFonts w:ascii="Calibri" w:eastAsia="Times New Roman" w:hAnsi="Calibri" w:cs="Times New Roman"/>
                <w:b/>
                <w:color w:val="000000"/>
                <w:szCs w:val="22"/>
                <w:lang w:val="en-GB" w:eastAsia="en-GB"/>
              </w:rPr>
            </w:pPr>
            <w:r w:rsidRPr="00DA2B22">
              <w:rPr>
                <w:rFonts w:ascii="Calibri" w:eastAsia="Times New Roman" w:hAnsi="Calibri" w:cs="Times New Roman"/>
                <w:b/>
                <w:color w:val="000000"/>
                <w:szCs w:val="22"/>
                <w:lang w:val="en-GB" w:eastAsia="en-GB"/>
              </w:rPr>
              <w:t>71,869</w:t>
            </w:r>
          </w:p>
        </w:tc>
      </w:tr>
    </w:tbl>
    <w:p w14:paraId="44FE2926" w14:textId="77777777" w:rsidR="005E27BA" w:rsidRPr="004256BC" w:rsidRDefault="005E27BA" w:rsidP="004256BC">
      <w:pPr>
        <w:jc w:val="both"/>
        <w:rPr>
          <w:b/>
          <w:szCs w:val="22"/>
        </w:rPr>
      </w:pPr>
    </w:p>
    <w:p w14:paraId="4F4A6193" w14:textId="401A6B73" w:rsidR="000A2609" w:rsidRDefault="000A2609" w:rsidP="003861D8">
      <w:pPr>
        <w:pStyle w:val="ListParagraph"/>
        <w:numPr>
          <w:ilvl w:val="0"/>
          <w:numId w:val="3"/>
        </w:numPr>
        <w:ind w:left="426" w:hanging="426"/>
        <w:jc w:val="both"/>
        <w:rPr>
          <w:b/>
          <w:szCs w:val="22"/>
        </w:rPr>
      </w:pPr>
      <w:r w:rsidRPr="004D4B5C">
        <w:rPr>
          <w:b/>
          <w:szCs w:val="22"/>
        </w:rPr>
        <w:t>Timeli</w:t>
      </w:r>
      <w:r w:rsidR="006D71B0">
        <w:rPr>
          <w:b/>
          <w:szCs w:val="22"/>
        </w:rPr>
        <w:t>ne/duration of the assignment</w:t>
      </w:r>
    </w:p>
    <w:p w14:paraId="5BC92244" w14:textId="77777777" w:rsidR="00FB235C" w:rsidRDefault="00FB235C" w:rsidP="00FB235C">
      <w:pPr>
        <w:pStyle w:val="ListParagraph"/>
        <w:ind w:left="426"/>
        <w:jc w:val="both"/>
        <w:rPr>
          <w:b/>
          <w:szCs w:val="22"/>
        </w:rPr>
      </w:pPr>
    </w:p>
    <w:p w14:paraId="6C8EF32E" w14:textId="4E34739A" w:rsidR="00F6053C" w:rsidRDefault="00F6053C" w:rsidP="00F6053C">
      <w:pPr>
        <w:jc w:val="both"/>
        <w:rPr>
          <w:szCs w:val="22"/>
        </w:rPr>
      </w:pPr>
      <w:r w:rsidRPr="00F6053C">
        <w:rPr>
          <w:szCs w:val="22"/>
        </w:rPr>
        <w:t>The risk assessment for the three disease related grants</w:t>
      </w:r>
      <w:r>
        <w:rPr>
          <w:szCs w:val="22"/>
        </w:rPr>
        <w:t xml:space="preserve"> will be a one year consultation starting after the approval of the funds for TA by </w:t>
      </w:r>
      <w:r w:rsidR="00FB235C">
        <w:rPr>
          <w:szCs w:val="22"/>
        </w:rPr>
        <w:t xml:space="preserve">the Government of </w:t>
      </w:r>
      <w:r>
        <w:rPr>
          <w:szCs w:val="22"/>
        </w:rPr>
        <w:t xml:space="preserve">Luxembourg. </w:t>
      </w:r>
    </w:p>
    <w:p w14:paraId="4C481917" w14:textId="77777777" w:rsidR="00F6053C" w:rsidRPr="00F6053C" w:rsidRDefault="00F6053C" w:rsidP="00F6053C">
      <w:pPr>
        <w:jc w:val="both"/>
        <w:rPr>
          <w:szCs w:val="22"/>
        </w:rPr>
      </w:pPr>
    </w:p>
    <w:p w14:paraId="0A46EBB7" w14:textId="62B297A0" w:rsidR="004D3D03" w:rsidRDefault="00DD4170" w:rsidP="00DC1A06">
      <w:pPr>
        <w:jc w:val="both"/>
        <w:rPr>
          <w:szCs w:val="22"/>
        </w:rPr>
      </w:pPr>
      <w:r w:rsidRPr="004D4B5C">
        <w:rPr>
          <w:szCs w:val="22"/>
        </w:rPr>
        <w:t>The</w:t>
      </w:r>
      <w:r w:rsidR="004D3D03">
        <w:rPr>
          <w:szCs w:val="22"/>
        </w:rPr>
        <w:t xml:space="preserve"> timeline fo</w:t>
      </w:r>
      <w:r w:rsidR="00AF6163">
        <w:rPr>
          <w:szCs w:val="22"/>
        </w:rPr>
        <w:t xml:space="preserve">r this assignment will require several </w:t>
      </w:r>
      <w:r w:rsidR="004D3D03">
        <w:rPr>
          <w:szCs w:val="22"/>
        </w:rPr>
        <w:t>phases</w:t>
      </w:r>
      <w:r w:rsidR="00FB235C">
        <w:rPr>
          <w:szCs w:val="22"/>
        </w:rPr>
        <w:t>:</w:t>
      </w:r>
    </w:p>
    <w:p w14:paraId="1ED81537" w14:textId="77777777" w:rsidR="00FB235C" w:rsidRDefault="00FB235C" w:rsidP="00DC1A06">
      <w:pPr>
        <w:jc w:val="both"/>
        <w:rPr>
          <w:szCs w:val="22"/>
        </w:rPr>
      </w:pPr>
    </w:p>
    <w:p w14:paraId="341565E4" w14:textId="4041225C" w:rsidR="00D30ABE" w:rsidRPr="00706288" w:rsidRDefault="004D3D03" w:rsidP="00706288">
      <w:pPr>
        <w:pStyle w:val="ListParagraph"/>
        <w:numPr>
          <w:ilvl w:val="0"/>
          <w:numId w:val="14"/>
        </w:numPr>
        <w:jc w:val="both"/>
        <w:rPr>
          <w:szCs w:val="22"/>
          <w:u w:val="single"/>
        </w:rPr>
      </w:pPr>
      <w:r w:rsidRPr="00706288">
        <w:rPr>
          <w:szCs w:val="22"/>
          <w:u w:val="single"/>
        </w:rPr>
        <w:t xml:space="preserve">Initial </w:t>
      </w:r>
      <w:r w:rsidR="00D30ABE" w:rsidRPr="00706288">
        <w:rPr>
          <w:szCs w:val="22"/>
          <w:u w:val="single"/>
        </w:rPr>
        <w:t xml:space="preserve"> intensive Phase – in Country</w:t>
      </w:r>
    </w:p>
    <w:p w14:paraId="31C4AB12" w14:textId="03D73A50" w:rsidR="004D3D03" w:rsidRPr="00706288" w:rsidRDefault="00D30ABE" w:rsidP="00706288">
      <w:pPr>
        <w:ind w:left="1080"/>
        <w:jc w:val="both"/>
        <w:rPr>
          <w:szCs w:val="22"/>
        </w:rPr>
      </w:pPr>
      <w:r w:rsidRPr="00706288">
        <w:rPr>
          <w:szCs w:val="22"/>
        </w:rPr>
        <w:t>A</w:t>
      </w:r>
      <w:r w:rsidR="004D4B5C" w:rsidRPr="00706288">
        <w:rPr>
          <w:szCs w:val="22"/>
        </w:rPr>
        <w:t xml:space="preserve">ssignment </w:t>
      </w:r>
      <w:r w:rsidRPr="00706288">
        <w:rPr>
          <w:szCs w:val="22"/>
        </w:rPr>
        <w:t>will take place</w:t>
      </w:r>
      <w:r w:rsidR="004D4B5C" w:rsidRPr="00706288">
        <w:rPr>
          <w:szCs w:val="22"/>
        </w:rPr>
        <w:t xml:space="preserve"> </w:t>
      </w:r>
      <w:r w:rsidRPr="00706288">
        <w:rPr>
          <w:szCs w:val="22"/>
        </w:rPr>
        <w:t xml:space="preserve">over a 4-6 weeks period </w:t>
      </w:r>
      <w:r w:rsidR="005E27BA" w:rsidRPr="00FB235C">
        <w:rPr>
          <w:szCs w:val="22"/>
        </w:rPr>
        <w:t>(date</w:t>
      </w:r>
      <w:r w:rsidR="004D4B5C" w:rsidRPr="00FB235C">
        <w:rPr>
          <w:szCs w:val="22"/>
        </w:rPr>
        <w:t>,</w:t>
      </w:r>
      <w:r w:rsidR="005E27BA" w:rsidRPr="00FB235C">
        <w:rPr>
          <w:szCs w:val="22"/>
        </w:rPr>
        <w:t xml:space="preserve"> TBD with Country Stakeholders).</w:t>
      </w:r>
      <w:r w:rsidR="005E27BA">
        <w:rPr>
          <w:szCs w:val="22"/>
        </w:rPr>
        <w:t xml:space="preserve"> </w:t>
      </w:r>
      <w:r w:rsidR="004D4B5C" w:rsidRPr="00706288">
        <w:rPr>
          <w:szCs w:val="22"/>
        </w:rPr>
        <w:t>The deliverables</w:t>
      </w:r>
      <w:r w:rsidR="00654C6A">
        <w:rPr>
          <w:szCs w:val="22"/>
        </w:rPr>
        <w:t xml:space="preserve"> </w:t>
      </w:r>
      <w:r w:rsidR="004D4B5C" w:rsidRPr="00706288">
        <w:rPr>
          <w:szCs w:val="22"/>
        </w:rPr>
        <w:t xml:space="preserve">will need to be submitted </w:t>
      </w:r>
      <w:r w:rsidR="003B227F">
        <w:rPr>
          <w:szCs w:val="22"/>
        </w:rPr>
        <w:t xml:space="preserve">as set out above (highlighted) by </w:t>
      </w:r>
      <w:r w:rsidR="005E27BA" w:rsidRPr="00FB235C">
        <w:rPr>
          <w:szCs w:val="22"/>
        </w:rPr>
        <w:t>date TBD.</w:t>
      </w:r>
      <w:r w:rsidR="003861D8" w:rsidRPr="00706288">
        <w:rPr>
          <w:szCs w:val="22"/>
        </w:rPr>
        <w:t xml:space="preserve"> </w:t>
      </w:r>
    </w:p>
    <w:p w14:paraId="3F305473" w14:textId="77777777" w:rsidR="00AF6163" w:rsidRDefault="00AF6163" w:rsidP="00706288">
      <w:pPr>
        <w:pStyle w:val="ListParagraph"/>
        <w:numPr>
          <w:ilvl w:val="0"/>
          <w:numId w:val="14"/>
        </w:numPr>
        <w:jc w:val="both"/>
        <w:rPr>
          <w:szCs w:val="22"/>
          <w:u w:val="single"/>
        </w:rPr>
      </w:pPr>
      <w:r>
        <w:rPr>
          <w:szCs w:val="22"/>
          <w:u w:val="single"/>
        </w:rPr>
        <w:t>Follow up Phase</w:t>
      </w:r>
    </w:p>
    <w:p w14:paraId="04ECAC68" w14:textId="107AD68A" w:rsidR="00AF6163" w:rsidRPr="00AF6163" w:rsidRDefault="00AF6163" w:rsidP="00AF6163">
      <w:pPr>
        <w:ind w:left="1080"/>
        <w:jc w:val="both"/>
        <w:rPr>
          <w:szCs w:val="22"/>
        </w:rPr>
      </w:pPr>
      <w:r w:rsidRPr="00AF6163">
        <w:rPr>
          <w:szCs w:val="22"/>
        </w:rPr>
        <w:t xml:space="preserve">This involves further needs assessment </w:t>
      </w:r>
      <w:r>
        <w:rPr>
          <w:szCs w:val="22"/>
        </w:rPr>
        <w:t>of the management unit of the S</w:t>
      </w:r>
      <w:r w:rsidR="00A07F54">
        <w:rPr>
          <w:szCs w:val="22"/>
        </w:rPr>
        <w:t>ub-</w:t>
      </w:r>
      <w:r>
        <w:rPr>
          <w:szCs w:val="22"/>
        </w:rPr>
        <w:t>R</w:t>
      </w:r>
      <w:r w:rsidR="00A07F54">
        <w:rPr>
          <w:szCs w:val="22"/>
        </w:rPr>
        <w:t>ecipient</w:t>
      </w:r>
      <w:r w:rsidR="005E27BA">
        <w:rPr>
          <w:szCs w:val="22"/>
        </w:rPr>
        <w:t>s</w:t>
      </w:r>
      <w:r>
        <w:rPr>
          <w:szCs w:val="22"/>
        </w:rPr>
        <w:t xml:space="preserve">, </w:t>
      </w:r>
      <w:r w:rsidR="005E27BA">
        <w:rPr>
          <w:szCs w:val="22"/>
        </w:rPr>
        <w:t>CHAS, NTP and CMPE</w:t>
      </w:r>
      <w:r>
        <w:rPr>
          <w:szCs w:val="22"/>
        </w:rPr>
        <w:t xml:space="preserve">, </w:t>
      </w:r>
      <w:r w:rsidRPr="00AF6163">
        <w:rPr>
          <w:szCs w:val="22"/>
        </w:rPr>
        <w:t>for technical assistance and capacity development with plans, tracking measures</w:t>
      </w:r>
    </w:p>
    <w:p w14:paraId="03A7A624" w14:textId="3C249D37" w:rsidR="00D30ABE" w:rsidRPr="0063344A" w:rsidRDefault="00D30ABE" w:rsidP="00706288">
      <w:pPr>
        <w:pStyle w:val="ListParagraph"/>
        <w:numPr>
          <w:ilvl w:val="0"/>
          <w:numId w:val="14"/>
        </w:numPr>
        <w:jc w:val="both"/>
        <w:rPr>
          <w:szCs w:val="22"/>
          <w:u w:val="single"/>
        </w:rPr>
      </w:pPr>
      <w:r w:rsidRPr="0063344A">
        <w:rPr>
          <w:szCs w:val="22"/>
          <w:u w:val="single"/>
        </w:rPr>
        <w:t>Oversight /Capacity Development Phase</w:t>
      </w:r>
    </w:p>
    <w:p w14:paraId="173890AD" w14:textId="3777A5E2" w:rsidR="004D3D03" w:rsidRDefault="004D3D03" w:rsidP="00706288">
      <w:pPr>
        <w:ind w:left="1080"/>
        <w:jc w:val="both"/>
        <w:rPr>
          <w:szCs w:val="22"/>
        </w:rPr>
      </w:pPr>
      <w:r>
        <w:rPr>
          <w:szCs w:val="22"/>
        </w:rPr>
        <w:t>On a monthly basis, the consultant</w:t>
      </w:r>
      <w:r w:rsidR="00682281">
        <w:rPr>
          <w:szCs w:val="22"/>
        </w:rPr>
        <w:t xml:space="preserve"> </w:t>
      </w:r>
      <w:r w:rsidR="00FB235C">
        <w:rPr>
          <w:szCs w:val="22"/>
        </w:rPr>
        <w:t xml:space="preserve">hired </w:t>
      </w:r>
      <w:r w:rsidR="00682281">
        <w:rPr>
          <w:szCs w:val="22"/>
        </w:rPr>
        <w:t>for the risk assessment</w:t>
      </w:r>
      <w:r>
        <w:rPr>
          <w:szCs w:val="22"/>
        </w:rPr>
        <w:t xml:space="preserve"> should </w:t>
      </w:r>
      <w:r w:rsidR="0012021A">
        <w:rPr>
          <w:szCs w:val="22"/>
        </w:rPr>
        <w:t xml:space="preserve">remotely </w:t>
      </w:r>
      <w:r>
        <w:rPr>
          <w:szCs w:val="22"/>
        </w:rPr>
        <w:t xml:space="preserve">follow up on the progress of the </w:t>
      </w:r>
      <w:r w:rsidR="00FB235C">
        <w:rPr>
          <w:szCs w:val="22"/>
        </w:rPr>
        <w:t>work plan</w:t>
      </w:r>
      <w:r>
        <w:rPr>
          <w:szCs w:val="22"/>
        </w:rPr>
        <w:t xml:space="preserve"> and tracking measures for the 6 months of implementation of the </w:t>
      </w:r>
      <w:r w:rsidR="005E27BA">
        <w:rPr>
          <w:szCs w:val="22"/>
        </w:rPr>
        <w:t xml:space="preserve">HIV, TB and malaria </w:t>
      </w:r>
      <w:r>
        <w:rPr>
          <w:szCs w:val="22"/>
        </w:rPr>
        <w:t>grant</w:t>
      </w:r>
      <w:r w:rsidR="005E27BA">
        <w:rPr>
          <w:szCs w:val="22"/>
        </w:rPr>
        <w:t>s</w:t>
      </w:r>
    </w:p>
    <w:p w14:paraId="5098E063" w14:textId="48374D47" w:rsidR="006D71B0" w:rsidRPr="00A110BB" w:rsidRDefault="0012021A" w:rsidP="009B5364">
      <w:pPr>
        <w:pStyle w:val="ListParagraph"/>
        <w:numPr>
          <w:ilvl w:val="0"/>
          <w:numId w:val="14"/>
        </w:numPr>
        <w:jc w:val="both"/>
        <w:rPr>
          <w:szCs w:val="22"/>
        </w:rPr>
      </w:pPr>
      <w:r w:rsidRPr="00A110BB">
        <w:rPr>
          <w:szCs w:val="22"/>
        </w:rPr>
        <w:t xml:space="preserve">During the 6 months of implementation of the </w:t>
      </w:r>
      <w:r w:rsidR="005E27BA" w:rsidRPr="00A110BB">
        <w:rPr>
          <w:szCs w:val="22"/>
        </w:rPr>
        <w:t>HIV, TB and malaria grants</w:t>
      </w:r>
      <w:r w:rsidRPr="00A110BB">
        <w:rPr>
          <w:szCs w:val="22"/>
        </w:rPr>
        <w:t>, the consultant</w:t>
      </w:r>
      <w:r w:rsidR="00682281" w:rsidRPr="00A110BB">
        <w:rPr>
          <w:szCs w:val="22"/>
        </w:rPr>
        <w:t xml:space="preserve"> </w:t>
      </w:r>
      <w:r w:rsidR="00FB235C" w:rsidRPr="00A110BB">
        <w:rPr>
          <w:szCs w:val="22"/>
        </w:rPr>
        <w:t>contracted</w:t>
      </w:r>
      <w:r w:rsidR="00682281" w:rsidRPr="00A110BB">
        <w:rPr>
          <w:szCs w:val="22"/>
        </w:rPr>
        <w:t xml:space="preserve"> for the risk assessment</w:t>
      </w:r>
      <w:r w:rsidRPr="00A110BB">
        <w:rPr>
          <w:szCs w:val="22"/>
        </w:rPr>
        <w:t xml:space="preserve"> should travel to country (up to two occasions</w:t>
      </w:r>
      <w:r w:rsidR="003C56E8" w:rsidRPr="00A110BB">
        <w:rPr>
          <w:szCs w:val="22"/>
        </w:rPr>
        <w:t>/quarterly basis</w:t>
      </w:r>
      <w:r w:rsidRPr="00A110BB">
        <w:rPr>
          <w:szCs w:val="22"/>
        </w:rPr>
        <w:t xml:space="preserve">) to meet with relevant stakeholders and follow up and assess progress on </w:t>
      </w:r>
      <w:r w:rsidR="00FB235C" w:rsidRPr="00A110BB">
        <w:rPr>
          <w:szCs w:val="22"/>
        </w:rPr>
        <w:t>work plan</w:t>
      </w:r>
      <w:r w:rsidRPr="00A110BB">
        <w:rPr>
          <w:szCs w:val="22"/>
        </w:rPr>
        <w:t xml:space="preserve"> measures. </w:t>
      </w:r>
      <w:r w:rsidR="00FE683E" w:rsidRPr="00A110BB">
        <w:rPr>
          <w:szCs w:val="22"/>
        </w:rPr>
        <w:t xml:space="preserve"> </w:t>
      </w:r>
    </w:p>
    <w:sectPr w:rsidR="006D71B0" w:rsidRPr="00A110BB" w:rsidSect="00E5040F">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FBD84" w14:textId="77777777" w:rsidR="008A4249" w:rsidRDefault="008A4249" w:rsidP="000A2609">
      <w:r>
        <w:separator/>
      </w:r>
    </w:p>
  </w:endnote>
  <w:endnote w:type="continuationSeparator" w:id="0">
    <w:p w14:paraId="037044C8" w14:textId="77777777" w:rsidR="008A4249" w:rsidRDefault="008A4249" w:rsidP="000A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31AFB" w14:textId="77777777" w:rsidR="006D71B0" w:rsidRDefault="006D71B0" w:rsidP="000A2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6F15AF" w14:textId="77777777" w:rsidR="006D71B0" w:rsidRDefault="006D71B0" w:rsidP="000A26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E574A" w14:textId="77777777" w:rsidR="006D71B0" w:rsidRDefault="006D71B0" w:rsidP="000A2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1E9">
      <w:rPr>
        <w:rStyle w:val="PageNumber"/>
        <w:noProof/>
      </w:rPr>
      <w:t>1</w:t>
    </w:r>
    <w:r>
      <w:rPr>
        <w:rStyle w:val="PageNumber"/>
      </w:rPr>
      <w:fldChar w:fldCharType="end"/>
    </w:r>
  </w:p>
  <w:p w14:paraId="08479B76" w14:textId="77777777" w:rsidR="006D71B0" w:rsidRDefault="006D71B0" w:rsidP="000A26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8DDDA" w14:textId="77777777" w:rsidR="008A4249" w:rsidRDefault="008A4249" w:rsidP="000A2609">
      <w:r>
        <w:separator/>
      </w:r>
    </w:p>
  </w:footnote>
  <w:footnote w:type="continuationSeparator" w:id="0">
    <w:p w14:paraId="13C81BCA" w14:textId="77777777" w:rsidR="008A4249" w:rsidRDefault="008A4249" w:rsidP="000A2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172"/>
    <w:multiLevelType w:val="hybridMultilevel"/>
    <w:tmpl w:val="647EC2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6035514"/>
    <w:multiLevelType w:val="hybridMultilevel"/>
    <w:tmpl w:val="65BE84FC"/>
    <w:lvl w:ilvl="0" w:tplc="86DC4206">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762658"/>
    <w:multiLevelType w:val="hybridMultilevel"/>
    <w:tmpl w:val="74E4BE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9E546B"/>
    <w:multiLevelType w:val="hybridMultilevel"/>
    <w:tmpl w:val="8F44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956027"/>
    <w:multiLevelType w:val="hybridMultilevel"/>
    <w:tmpl w:val="2D1E3B5C"/>
    <w:lvl w:ilvl="0" w:tplc="79D42F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993F8C"/>
    <w:multiLevelType w:val="hybridMultilevel"/>
    <w:tmpl w:val="769A4BE6"/>
    <w:lvl w:ilvl="0" w:tplc="08090015">
      <w:start w:val="1"/>
      <w:numFmt w:val="upperLetter"/>
      <w:lvlText w:val="%1."/>
      <w:lvlJc w:val="left"/>
      <w:pPr>
        <w:ind w:left="720" w:hanging="360"/>
      </w:pPr>
      <w:rPr>
        <w:rFonts w:hint="default"/>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A17943"/>
    <w:multiLevelType w:val="hybridMultilevel"/>
    <w:tmpl w:val="ADD4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FB6376"/>
    <w:multiLevelType w:val="hybridMultilevel"/>
    <w:tmpl w:val="015C7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D196A4E"/>
    <w:multiLevelType w:val="hybridMultilevel"/>
    <w:tmpl w:val="E29275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EA136E5"/>
    <w:multiLevelType w:val="hybridMultilevel"/>
    <w:tmpl w:val="95BA9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0A3532D"/>
    <w:multiLevelType w:val="hybridMultilevel"/>
    <w:tmpl w:val="E238F8A0"/>
    <w:lvl w:ilvl="0" w:tplc="28827F44">
      <w:start w:val="1"/>
      <w:numFmt w:val="lowerLetter"/>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A041DC1"/>
    <w:multiLevelType w:val="hybridMultilevel"/>
    <w:tmpl w:val="53CE56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FE525F5"/>
    <w:multiLevelType w:val="hybridMultilevel"/>
    <w:tmpl w:val="C8CA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492093"/>
    <w:multiLevelType w:val="hybridMultilevel"/>
    <w:tmpl w:val="80BA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6C5EB9"/>
    <w:multiLevelType w:val="hybridMultilevel"/>
    <w:tmpl w:val="3EBC4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CA1330B"/>
    <w:multiLevelType w:val="hybridMultilevel"/>
    <w:tmpl w:val="BEAC5472"/>
    <w:lvl w:ilvl="0" w:tplc="27E4C074">
      <w:start w:val="9"/>
      <w:numFmt w:val="lowerLetter"/>
      <w:lvlText w:val="%1)"/>
      <w:lvlJc w:val="left"/>
      <w:pPr>
        <w:ind w:left="1086" w:hanging="360"/>
      </w:pPr>
      <w:rPr>
        <w:rFonts w:hint="default"/>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16">
    <w:nsid w:val="6CC04E0A"/>
    <w:multiLevelType w:val="hybridMultilevel"/>
    <w:tmpl w:val="638C868A"/>
    <w:lvl w:ilvl="0" w:tplc="3BC69CFA">
      <w:start w:val="1"/>
      <w:numFmt w:val="lowerLetter"/>
      <w:lvlText w:val="%1)"/>
      <w:lvlJc w:val="left"/>
      <w:pPr>
        <w:ind w:left="720" w:hanging="360"/>
      </w:pPr>
      <w:rPr>
        <w:rFonts w:asciiTheme="majorHAnsi" w:hAnsiTheme="majorHAnsi" w:hint="default"/>
        <w:sz w:val="22"/>
      </w:rPr>
    </w:lvl>
    <w:lvl w:ilvl="1" w:tplc="0809001B">
      <w:start w:val="1"/>
      <w:numFmt w:val="lowerRoman"/>
      <w:lvlText w:val="%2."/>
      <w:lvlJc w:val="right"/>
      <w:pPr>
        <w:ind w:left="1440" w:hanging="360"/>
      </w:pPr>
    </w:lvl>
    <w:lvl w:ilvl="2" w:tplc="E390A6DE">
      <w:start w:val="2"/>
      <w:numFmt w:val="lowerRoman"/>
      <w:lvlText w:val="%3)"/>
      <w:lvlJc w:val="left"/>
      <w:pPr>
        <w:ind w:left="2700" w:hanging="720"/>
      </w:pPr>
      <w:rPr>
        <w:rFonts w:hint="default"/>
      </w:rPr>
    </w:lvl>
    <w:lvl w:ilvl="3" w:tplc="05025DEE">
      <w:start w:val="1"/>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7A1618"/>
    <w:multiLevelType w:val="hybridMultilevel"/>
    <w:tmpl w:val="B088F056"/>
    <w:lvl w:ilvl="0" w:tplc="3BC69CFA">
      <w:start w:val="1"/>
      <w:numFmt w:val="lowerLetter"/>
      <w:lvlText w:val="%1)"/>
      <w:lvlJc w:val="left"/>
      <w:pPr>
        <w:ind w:left="720" w:hanging="360"/>
      </w:pPr>
      <w:rPr>
        <w:rFonts w:asciiTheme="majorHAnsi" w:hAnsiTheme="majorHAnsi"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F6926B5"/>
    <w:multiLevelType w:val="hybridMultilevel"/>
    <w:tmpl w:val="F6908788"/>
    <w:lvl w:ilvl="0" w:tplc="1F78877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nsid w:val="7F7C05A9"/>
    <w:multiLevelType w:val="hybridMultilevel"/>
    <w:tmpl w:val="73585A52"/>
    <w:lvl w:ilvl="0" w:tplc="47B2EDA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1"/>
  </w:num>
  <w:num w:numId="3">
    <w:abstractNumId w:val="19"/>
  </w:num>
  <w:num w:numId="4">
    <w:abstractNumId w:val="14"/>
  </w:num>
  <w:num w:numId="5">
    <w:abstractNumId w:val="1"/>
  </w:num>
  <w:num w:numId="6">
    <w:abstractNumId w:val="10"/>
  </w:num>
  <w:num w:numId="7">
    <w:abstractNumId w:val="13"/>
  </w:num>
  <w:num w:numId="8">
    <w:abstractNumId w:val="9"/>
  </w:num>
  <w:num w:numId="9">
    <w:abstractNumId w:val="2"/>
  </w:num>
  <w:num w:numId="10">
    <w:abstractNumId w:val="17"/>
  </w:num>
  <w:num w:numId="11">
    <w:abstractNumId w:val="16"/>
  </w:num>
  <w:num w:numId="12">
    <w:abstractNumId w:val="7"/>
  </w:num>
  <w:num w:numId="13">
    <w:abstractNumId w:val="12"/>
  </w:num>
  <w:num w:numId="14">
    <w:abstractNumId w:val="4"/>
  </w:num>
  <w:num w:numId="15">
    <w:abstractNumId w:val="15"/>
  </w:num>
  <w:num w:numId="16">
    <w:abstractNumId w:val="0"/>
  </w:num>
  <w:num w:numId="17">
    <w:abstractNumId w:val="5"/>
  </w:num>
  <w:num w:numId="18">
    <w:abstractNumId w:val="18"/>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15"/>
    <w:rsid w:val="00000A9C"/>
    <w:rsid w:val="000016FE"/>
    <w:rsid w:val="000022D7"/>
    <w:rsid w:val="00002C66"/>
    <w:rsid w:val="00003B36"/>
    <w:rsid w:val="00022E70"/>
    <w:rsid w:val="00025688"/>
    <w:rsid w:val="00034FDC"/>
    <w:rsid w:val="000449B1"/>
    <w:rsid w:val="000463B3"/>
    <w:rsid w:val="00061B62"/>
    <w:rsid w:val="0007745C"/>
    <w:rsid w:val="00084C25"/>
    <w:rsid w:val="000A017E"/>
    <w:rsid w:val="000A2609"/>
    <w:rsid w:val="000D0186"/>
    <w:rsid w:val="000D758D"/>
    <w:rsid w:val="000F34E0"/>
    <w:rsid w:val="00116438"/>
    <w:rsid w:val="0012021A"/>
    <w:rsid w:val="00147ECF"/>
    <w:rsid w:val="00150569"/>
    <w:rsid w:val="00164B3B"/>
    <w:rsid w:val="00170082"/>
    <w:rsid w:val="00173863"/>
    <w:rsid w:val="00192F29"/>
    <w:rsid w:val="00235BDE"/>
    <w:rsid w:val="002411E9"/>
    <w:rsid w:val="0026744A"/>
    <w:rsid w:val="002A0ED0"/>
    <w:rsid w:val="002B0A1A"/>
    <w:rsid w:val="002C4E37"/>
    <w:rsid w:val="00317F0C"/>
    <w:rsid w:val="003367EC"/>
    <w:rsid w:val="0034003B"/>
    <w:rsid w:val="003861D8"/>
    <w:rsid w:val="003B227F"/>
    <w:rsid w:val="003B768F"/>
    <w:rsid w:val="003C56E8"/>
    <w:rsid w:val="003D58A8"/>
    <w:rsid w:val="004028CC"/>
    <w:rsid w:val="00404A7A"/>
    <w:rsid w:val="00405560"/>
    <w:rsid w:val="004107B0"/>
    <w:rsid w:val="00420E48"/>
    <w:rsid w:val="004256BC"/>
    <w:rsid w:val="004402EC"/>
    <w:rsid w:val="00453EC0"/>
    <w:rsid w:val="00466615"/>
    <w:rsid w:val="004832DD"/>
    <w:rsid w:val="004A0DD3"/>
    <w:rsid w:val="004B7B79"/>
    <w:rsid w:val="004D3D03"/>
    <w:rsid w:val="004D4B5C"/>
    <w:rsid w:val="004E2C70"/>
    <w:rsid w:val="00506CBE"/>
    <w:rsid w:val="00510E30"/>
    <w:rsid w:val="00511118"/>
    <w:rsid w:val="00511F2C"/>
    <w:rsid w:val="00534674"/>
    <w:rsid w:val="005365DF"/>
    <w:rsid w:val="005553BD"/>
    <w:rsid w:val="00555407"/>
    <w:rsid w:val="00560465"/>
    <w:rsid w:val="005A6832"/>
    <w:rsid w:val="005C4A9D"/>
    <w:rsid w:val="005E27BA"/>
    <w:rsid w:val="005E4A1A"/>
    <w:rsid w:val="00604220"/>
    <w:rsid w:val="00604BD8"/>
    <w:rsid w:val="00626541"/>
    <w:rsid w:val="006278AC"/>
    <w:rsid w:val="0063344A"/>
    <w:rsid w:val="00633BED"/>
    <w:rsid w:val="00654C6A"/>
    <w:rsid w:val="006730FA"/>
    <w:rsid w:val="00682281"/>
    <w:rsid w:val="006A77E9"/>
    <w:rsid w:val="006B4619"/>
    <w:rsid w:val="006D71B0"/>
    <w:rsid w:val="00706288"/>
    <w:rsid w:val="00713A6F"/>
    <w:rsid w:val="0073781D"/>
    <w:rsid w:val="007429DD"/>
    <w:rsid w:val="00786E42"/>
    <w:rsid w:val="0079016E"/>
    <w:rsid w:val="00791D7B"/>
    <w:rsid w:val="007C2881"/>
    <w:rsid w:val="007D429F"/>
    <w:rsid w:val="007E7D70"/>
    <w:rsid w:val="00817377"/>
    <w:rsid w:val="008328A7"/>
    <w:rsid w:val="00840C7D"/>
    <w:rsid w:val="00845290"/>
    <w:rsid w:val="008544A8"/>
    <w:rsid w:val="00860680"/>
    <w:rsid w:val="008749C7"/>
    <w:rsid w:val="008952E1"/>
    <w:rsid w:val="008953FB"/>
    <w:rsid w:val="008A3E3C"/>
    <w:rsid w:val="008A4249"/>
    <w:rsid w:val="008C0923"/>
    <w:rsid w:val="008D71D7"/>
    <w:rsid w:val="0090483C"/>
    <w:rsid w:val="00925F0A"/>
    <w:rsid w:val="00933F26"/>
    <w:rsid w:val="00943D15"/>
    <w:rsid w:val="00952AA7"/>
    <w:rsid w:val="009A590E"/>
    <w:rsid w:val="009B7EF8"/>
    <w:rsid w:val="009C7D31"/>
    <w:rsid w:val="009D3D00"/>
    <w:rsid w:val="009D456A"/>
    <w:rsid w:val="009E275E"/>
    <w:rsid w:val="00A028D4"/>
    <w:rsid w:val="00A07F54"/>
    <w:rsid w:val="00A110BB"/>
    <w:rsid w:val="00A25D8F"/>
    <w:rsid w:val="00A2716F"/>
    <w:rsid w:val="00A50E0D"/>
    <w:rsid w:val="00A550E2"/>
    <w:rsid w:val="00A67B82"/>
    <w:rsid w:val="00A800FB"/>
    <w:rsid w:val="00A83B71"/>
    <w:rsid w:val="00A87498"/>
    <w:rsid w:val="00A92A7F"/>
    <w:rsid w:val="00AA0F16"/>
    <w:rsid w:val="00AC11D1"/>
    <w:rsid w:val="00AE6332"/>
    <w:rsid w:val="00AF6163"/>
    <w:rsid w:val="00B1287A"/>
    <w:rsid w:val="00B13230"/>
    <w:rsid w:val="00B4502C"/>
    <w:rsid w:val="00B47A98"/>
    <w:rsid w:val="00B64FE5"/>
    <w:rsid w:val="00B75C68"/>
    <w:rsid w:val="00B87AEA"/>
    <w:rsid w:val="00BA50E3"/>
    <w:rsid w:val="00BA780A"/>
    <w:rsid w:val="00BC6C13"/>
    <w:rsid w:val="00BE685E"/>
    <w:rsid w:val="00BF4DBB"/>
    <w:rsid w:val="00C14C60"/>
    <w:rsid w:val="00C3172A"/>
    <w:rsid w:val="00C330D7"/>
    <w:rsid w:val="00C33B1C"/>
    <w:rsid w:val="00C35FEE"/>
    <w:rsid w:val="00C46E41"/>
    <w:rsid w:val="00C53E24"/>
    <w:rsid w:val="00C643C4"/>
    <w:rsid w:val="00C92233"/>
    <w:rsid w:val="00C93EF9"/>
    <w:rsid w:val="00CC062E"/>
    <w:rsid w:val="00CC7C88"/>
    <w:rsid w:val="00CD2595"/>
    <w:rsid w:val="00CD395B"/>
    <w:rsid w:val="00CD44E8"/>
    <w:rsid w:val="00CF60E6"/>
    <w:rsid w:val="00CF6400"/>
    <w:rsid w:val="00D150B8"/>
    <w:rsid w:val="00D24191"/>
    <w:rsid w:val="00D30ABE"/>
    <w:rsid w:val="00D53781"/>
    <w:rsid w:val="00D549B5"/>
    <w:rsid w:val="00D6417B"/>
    <w:rsid w:val="00D838C1"/>
    <w:rsid w:val="00D863C5"/>
    <w:rsid w:val="00DA2B22"/>
    <w:rsid w:val="00DC1A06"/>
    <w:rsid w:val="00DD4170"/>
    <w:rsid w:val="00DE0A53"/>
    <w:rsid w:val="00DE30A7"/>
    <w:rsid w:val="00DE5FF0"/>
    <w:rsid w:val="00DF663E"/>
    <w:rsid w:val="00E02E18"/>
    <w:rsid w:val="00E068EE"/>
    <w:rsid w:val="00E16C10"/>
    <w:rsid w:val="00E31450"/>
    <w:rsid w:val="00E406CF"/>
    <w:rsid w:val="00E5040F"/>
    <w:rsid w:val="00E54066"/>
    <w:rsid w:val="00E778CF"/>
    <w:rsid w:val="00E82E61"/>
    <w:rsid w:val="00E83057"/>
    <w:rsid w:val="00E903FC"/>
    <w:rsid w:val="00EB6466"/>
    <w:rsid w:val="00EC62B0"/>
    <w:rsid w:val="00ED3D19"/>
    <w:rsid w:val="00EE405A"/>
    <w:rsid w:val="00EF0BCE"/>
    <w:rsid w:val="00F11349"/>
    <w:rsid w:val="00F125EE"/>
    <w:rsid w:val="00F31764"/>
    <w:rsid w:val="00F33E2F"/>
    <w:rsid w:val="00F44D2E"/>
    <w:rsid w:val="00F50823"/>
    <w:rsid w:val="00F6053C"/>
    <w:rsid w:val="00F6166A"/>
    <w:rsid w:val="00F84DC1"/>
    <w:rsid w:val="00FA3797"/>
    <w:rsid w:val="00FA71DC"/>
    <w:rsid w:val="00FB235C"/>
    <w:rsid w:val="00FD694D"/>
    <w:rsid w:val="00FE683E"/>
    <w:rsid w:val="00FE6C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13C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hAnsi="Georg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609"/>
    <w:pPr>
      <w:tabs>
        <w:tab w:val="center" w:pos="4320"/>
        <w:tab w:val="right" w:pos="8640"/>
      </w:tabs>
    </w:pPr>
  </w:style>
  <w:style w:type="character" w:customStyle="1" w:styleId="FooterChar">
    <w:name w:val="Footer Char"/>
    <w:basedOn w:val="DefaultParagraphFont"/>
    <w:link w:val="Footer"/>
    <w:uiPriority w:val="99"/>
    <w:rsid w:val="000A2609"/>
  </w:style>
  <w:style w:type="character" w:styleId="PageNumber">
    <w:name w:val="page number"/>
    <w:basedOn w:val="DefaultParagraphFont"/>
    <w:uiPriority w:val="99"/>
    <w:semiHidden/>
    <w:unhideWhenUsed/>
    <w:rsid w:val="000A2609"/>
  </w:style>
  <w:style w:type="paragraph" w:styleId="ListParagraph">
    <w:name w:val="List Paragraph"/>
    <w:basedOn w:val="Normal"/>
    <w:uiPriority w:val="34"/>
    <w:qFormat/>
    <w:rsid w:val="00002C66"/>
    <w:pPr>
      <w:ind w:left="720"/>
      <w:contextualSpacing/>
    </w:pPr>
  </w:style>
  <w:style w:type="table" w:styleId="TableGrid">
    <w:name w:val="Table Grid"/>
    <w:basedOn w:val="TableNormal"/>
    <w:uiPriority w:val="59"/>
    <w:rsid w:val="00A67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B768F"/>
    <w:pPr>
      <w:autoSpaceDE w:val="0"/>
      <w:autoSpaceDN w:val="0"/>
      <w:adjustRightInd w:val="0"/>
    </w:pPr>
    <w:rPr>
      <w:rFonts w:ascii="Arial" w:hAnsi="Arial" w:cs="Arial"/>
      <w:color w:val="000000"/>
      <w:lang w:val="en-GB"/>
    </w:rPr>
  </w:style>
  <w:style w:type="character" w:styleId="CommentReference">
    <w:name w:val="annotation reference"/>
    <w:basedOn w:val="DefaultParagraphFont"/>
    <w:uiPriority w:val="99"/>
    <w:semiHidden/>
    <w:unhideWhenUsed/>
    <w:rsid w:val="00E83057"/>
    <w:rPr>
      <w:sz w:val="16"/>
      <w:szCs w:val="16"/>
    </w:rPr>
  </w:style>
  <w:style w:type="paragraph" w:styleId="CommentText">
    <w:name w:val="annotation text"/>
    <w:basedOn w:val="Normal"/>
    <w:link w:val="CommentTextChar"/>
    <w:uiPriority w:val="99"/>
    <w:semiHidden/>
    <w:unhideWhenUsed/>
    <w:rsid w:val="00E83057"/>
    <w:rPr>
      <w:sz w:val="20"/>
      <w:szCs w:val="20"/>
    </w:rPr>
  </w:style>
  <w:style w:type="character" w:customStyle="1" w:styleId="CommentTextChar">
    <w:name w:val="Comment Text Char"/>
    <w:basedOn w:val="DefaultParagraphFont"/>
    <w:link w:val="CommentText"/>
    <w:uiPriority w:val="99"/>
    <w:semiHidden/>
    <w:rsid w:val="00E83057"/>
    <w:rPr>
      <w:sz w:val="20"/>
      <w:szCs w:val="20"/>
    </w:rPr>
  </w:style>
  <w:style w:type="paragraph" w:styleId="CommentSubject">
    <w:name w:val="annotation subject"/>
    <w:basedOn w:val="CommentText"/>
    <w:next w:val="CommentText"/>
    <w:link w:val="CommentSubjectChar"/>
    <w:uiPriority w:val="99"/>
    <w:semiHidden/>
    <w:unhideWhenUsed/>
    <w:rsid w:val="00E83057"/>
    <w:rPr>
      <w:b/>
      <w:bCs/>
    </w:rPr>
  </w:style>
  <w:style w:type="character" w:customStyle="1" w:styleId="CommentSubjectChar">
    <w:name w:val="Comment Subject Char"/>
    <w:basedOn w:val="CommentTextChar"/>
    <w:link w:val="CommentSubject"/>
    <w:uiPriority w:val="99"/>
    <w:semiHidden/>
    <w:rsid w:val="00E83057"/>
    <w:rPr>
      <w:b/>
      <w:bCs/>
      <w:sz w:val="20"/>
      <w:szCs w:val="20"/>
    </w:rPr>
  </w:style>
  <w:style w:type="paragraph" w:styleId="BalloonText">
    <w:name w:val="Balloon Text"/>
    <w:basedOn w:val="Normal"/>
    <w:link w:val="BalloonTextChar"/>
    <w:uiPriority w:val="99"/>
    <w:semiHidden/>
    <w:unhideWhenUsed/>
    <w:rsid w:val="00E8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0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hAnsi="Georg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609"/>
    <w:pPr>
      <w:tabs>
        <w:tab w:val="center" w:pos="4320"/>
        <w:tab w:val="right" w:pos="8640"/>
      </w:tabs>
    </w:pPr>
  </w:style>
  <w:style w:type="character" w:customStyle="1" w:styleId="FooterChar">
    <w:name w:val="Footer Char"/>
    <w:basedOn w:val="DefaultParagraphFont"/>
    <w:link w:val="Footer"/>
    <w:uiPriority w:val="99"/>
    <w:rsid w:val="000A2609"/>
  </w:style>
  <w:style w:type="character" w:styleId="PageNumber">
    <w:name w:val="page number"/>
    <w:basedOn w:val="DefaultParagraphFont"/>
    <w:uiPriority w:val="99"/>
    <w:semiHidden/>
    <w:unhideWhenUsed/>
    <w:rsid w:val="000A2609"/>
  </w:style>
  <w:style w:type="paragraph" w:styleId="ListParagraph">
    <w:name w:val="List Paragraph"/>
    <w:basedOn w:val="Normal"/>
    <w:uiPriority w:val="34"/>
    <w:qFormat/>
    <w:rsid w:val="00002C66"/>
    <w:pPr>
      <w:ind w:left="720"/>
      <w:contextualSpacing/>
    </w:pPr>
  </w:style>
  <w:style w:type="table" w:styleId="TableGrid">
    <w:name w:val="Table Grid"/>
    <w:basedOn w:val="TableNormal"/>
    <w:uiPriority w:val="59"/>
    <w:rsid w:val="00A67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B768F"/>
    <w:pPr>
      <w:autoSpaceDE w:val="0"/>
      <w:autoSpaceDN w:val="0"/>
      <w:adjustRightInd w:val="0"/>
    </w:pPr>
    <w:rPr>
      <w:rFonts w:ascii="Arial" w:hAnsi="Arial" w:cs="Arial"/>
      <w:color w:val="000000"/>
      <w:lang w:val="en-GB"/>
    </w:rPr>
  </w:style>
  <w:style w:type="character" w:styleId="CommentReference">
    <w:name w:val="annotation reference"/>
    <w:basedOn w:val="DefaultParagraphFont"/>
    <w:uiPriority w:val="99"/>
    <w:semiHidden/>
    <w:unhideWhenUsed/>
    <w:rsid w:val="00E83057"/>
    <w:rPr>
      <w:sz w:val="16"/>
      <w:szCs w:val="16"/>
    </w:rPr>
  </w:style>
  <w:style w:type="paragraph" w:styleId="CommentText">
    <w:name w:val="annotation text"/>
    <w:basedOn w:val="Normal"/>
    <w:link w:val="CommentTextChar"/>
    <w:uiPriority w:val="99"/>
    <w:semiHidden/>
    <w:unhideWhenUsed/>
    <w:rsid w:val="00E83057"/>
    <w:rPr>
      <w:sz w:val="20"/>
      <w:szCs w:val="20"/>
    </w:rPr>
  </w:style>
  <w:style w:type="character" w:customStyle="1" w:styleId="CommentTextChar">
    <w:name w:val="Comment Text Char"/>
    <w:basedOn w:val="DefaultParagraphFont"/>
    <w:link w:val="CommentText"/>
    <w:uiPriority w:val="99"/>
    <w:semiHidden/>
    <w:rsid w:val="00E83057"/>
    <w:rPr>
      <w:sz w:val="20"/>
      <w:szCs w:val="20"/>
    </w:rPr>
  </w:style>
  <w:style w:type="paragraph" w:styleId="CommentSubject">
    <w:name w:val="annotation subject"/>
    <w:basedOn w:val="CommentText"/>
    <w:next w:val="CommentText"/>
    <w:link w:val="CommentSubjectChar"/>
    <w:uiPriority w:val="99"/>
    <w:semiHidden/>
    <w:unhideWhenUsed/>
    <w:rsid w:val="00E83057"/>
    <w:rPr>
      <w:b/>
      <w:bCs/>
    </w:rPr>
  </w:style>
  <w:style w:type="character" w:customStyle="1" w:styleId="CommentSubjectChar">
    <w:name w:val="Comment Subject Char"/>
    <w:basedOn w:val="CommentTextChar"/>
    <w:link w:val="CommentSubject"/>
    <w:uiPriority w:val="99"/>
    <w:semiHidden/>
    <w:rsid w:val="00E83057"/>
    <w:rPr>
      <w:b/>
      <w:bCs/>
      <w:sz w:val="20"/>
      <w:szCs w:val="20"/>
    </w:rPr>
  </w:style>
  <w:style w:type="paragraph" w:styleId="BalloonText">
    <w:name w:val="Balloon Text"/>
    <w:basedOn w:val="Normal"/>
    <w:link w:val="BalloonTextChar"/>
    <w:uiPriority w:val="99"/>
    <w:semiHidden/>
    <w:unhideWhenUsed/>
    <w:rsid w:val="00E8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862635">
      <w:bodyDiv w:val="1"/>
      <w:marLeft w:val="0"/>
      <w:marRight w:val="0"/>
      <w:marTop w:val="0"/>
      <w:marBottom w:val="0"/>
      <w:divBdr>
        <w:top w:val="none" w:sz="0" w:space="0" w:color="auto"/>
        <w:left w:val="none" w:sz="0" w:space="0" w:color="auto"/>
        <w:bottom w:val="none" w:sz="0" w:space="0" w:color="auto"/>
        <w:right w:val="none" w:sz="0" w:space="0" w:color="auto"/>
      </w:divBdr>
    </w:div>
    <w:div w:id="1503081688">
      <w:bodyDiv w:val="1"/>
      <w:marLeft w:val="0"/>
      <w:marRight w:val="0"/>
      <w:marTop w:val="0"/>
      <w:marBottom w:val="0"/>
      <w:divBdr>
        <w:top w:val="none" w:sz="0" w:space="0" w:color="auto"/>
        <w:left w:val="none" w:sz="0" w:space="0" w:color="auto"/>
        <w:bottom w:val="none" w:sz="0" w:space="0" w:color="auto"/>
        <w:right w:val="none" w:sz="0" w:space="0" w:color="auto"/>
      </w:divBdr>
    </w:div>
    <w:div w:id="1776825334">
      <w:bodyDiv w:val="1"/>
      <w:marLeft w:val="0"/>
      <w:marRight w:val="0"/>
      <w:marTop w:val="0"/>
      <w:marBottom w:val="0"/>
      <w:divBdr>
        <w:top w:val="none" w:sz="0" w:space="0" w:color="auto"/>
        <w:left w:val="none" w:sz="0" w:space="0" w:color="auto"/>
        <w:bottom w:val="none" w:sz="0" w:space="0" w:color="auto"/>
        <w:right w:val="none" w:sz="0" w:space="0" w:color="auto"/>
      </w:divBdr>
    </w:div>
    <w:div w:id="195378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5934B-1044-45F3-9022-9F6533F5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Dom</Company>
  <LinksUpToDate>false</LinksUpToDate>
  <CharactersWithSpaces>10022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 Dom</dc:creator>
  <cp:lastModifiedBy>Dell</cp:lastModifiedBy>
  <cp:revision>2</cp:revision>
  <cp:lastPrinted>2015-11-04T16:28:00Z</cp:lastPrinted>
  <dcterms:created xsi:type="dcterms:W3CDTF">2016-07-04T09:25:00Z</dcterms:created>
  <dcterms:modified xsi:type="dcterms:W3CDTF">2016-07-04T09:25:00Z</dcterms:modified>
</cp:coreProperties>
</file>